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13D5B">
      <w:pPr>
        <w:pStyle w:val="10"/>
        <w:jc w:val="center"/>
        <w:rPr>
          <w:rFonts w:hint="eastAsia" w:ascii="方正小标宋_GBK" w:hAnsi="方正小标宋_GBK" w:eastAsia="方正小标宋_GBK" w:cs="方正小标宋_GBK"/>
          <w:sz w:val="44"/>
          <w:szCs w:val="44"/>
          <w:u w:val="single"/>
        </w:rPr>
      </w:pPr>
    </w:p>
    <w:p w14:paraId="481DAD21">
      <w:pPr>
        <w:pStyle w:val="10"/>
        <w:jc w:val="center"/>
        <w:rPr>
          <w:rFonts w:hint="eastAsia" w:ascii="方正小标宋_GBK" w:hAnsi="方正小标宋_GBK" w:eastAsia="方正小标宋_GBK" w:cs="方正小标宋_GBK"/>
          <w:sz w:val="36"/>
          <w:szCs w:val="36"/>
          <w:u w:val="single"/>
        </w:rPr>
      </w:pPr>
      <w:r>
        <w:rPr>
          <w:rFonts w:hint="eastAsia" w:ascii="方正小标宋_GBK" w:hAnsi="方正小标宋_GBK" w:eastAsia="方正小标宋_GBK" w:cs="方正小标宋_GBK"/>
          <w:sz w:val="36"/>
          <w:szCs w:val="36"/>
          <w:u w:val="single"/>
        </w:rPr>
        <w:t>哈萨克斯坦阿克套燃机项目</w:t>
      </w:r>
    </w:p>
    <w:p w14:paraId="049AFB1C">
      <w:pPr>
        <w:jc w:val="center"/>
        <w:rPr>
          <w:rFonts w:hint="eastAsia" w:ascii="方正小标宋_GBK" w:hAnsi="方正小标宋_GBK" w:eastAsia="方正小标宋_GBK" w:cs="方正小标宋_GBK"/>
          <w:sz w:val="36"/>
          <w:szCs w:val="36"/>
          <w:u w:val="single"/>
        </w:rPr>
      </w:pPr>
      <w:r>
        <w:rPr>
          <w:rFonts w:hint="eastAsia" w:ascii="方正小标宋_GBK" w:hAnsi="方正小标宋_GBK" w:eastAsia="方正小标宋_GBK" w:cs="方正小标宋_GBK"/>
          <w:sz w:val="36"/>
          <w:szCs w:val="36"/>
          <w:u w:val="single"/>
          <w:lang w:val="en-US" w:eastAsia="zh-CN"/>
        </w:rPr>
        <w:t>会计代理</w:t>
      </w:r>
      <w:r>
        <w:rPr>
          <w:rFonts w:hint="eastAsia" w:ascii="方正小标宋_GBK" w:hAnsi="方正小标宋_GBK" w:eastAsia="方正小标宋_GBK" w:cs="方正小标宋_GBK"/>
          <w:sz w:val="36"/>
          <w:szCs w:val="36"/>
          <w:u w:val="single"/>
        </w:rPr>
        <w:t>服务</w:t>
      </w:r>
    </w:p>
    <w:p w14:paraId="6D691FAF">
      <w:pPr>
        <w:pStyle w:val="2"/>
        <w:keepNext w:val="0"/>
        <w:keepLines w:val="0"/>
        <w:widowControl/>
        <w:suppressLineNumbers w:val="0"/>
        <w:pBdr>
          <w:bottom w:val="none" w:color="auto" w:sz="0" w:space="0"/>
        </w:pBdr>
        <w:shd w:val="clear" w:fill="F9FAFB"/>
        <w:ind w:left="0" w:right="0" w:firstLine="0"/>
        <w:jc w:val="left"/>
        <w:rPr>
          <w:rFonts w:hint="default" w:ascii="Times New Roman" w:hAnsi="Times New Roman" w:eastAsia="Montserrat" w:cs="Times New Roman"/>
          <w:b/>
          <w:bCs/>
          <w:i w:val="0"/>
          <w:iCs w:val="0"/>
          <w:caps w:val="0"/>
          <w:color w:val="000000"/>
          <w:spacing w:val="0"/>
          <w:sz w:val="28"/>
          <w:szCs w:val="28"/>
          <w:shd w:val="clear" w:fill="F9FAFB"/>
        </w:rPr>
      </w:pPr>
      <w:r>
        <w:rPr>
          <w:rFonts w:hint="default" w:ascii="Times New Roman" w:hAnsi="Times New Roman" w:eastAsia="Montserrat" w:cs="Times New Roman"/>
          <w:b/>
          <w:bCs/>
          <w:i w:val="0"/>
          <w:iCs w:val="0"/>
          <w:caps w:val="0"/>
          <w:color w:val="000000"/>
          <w:spacing w:val="0"/>
          <w:sz w:val="28"/>
          <w:szCs w:val="28"/>
          <w:shd w:val="clear" w:fill="F9FAFB"/>
        </w:rPr>
        <w:t>Проект</w:t>
      </w:r>
      <w:r>
        <w:rPr>
          <w:rFonts w:hint="default" w:ascii="Times New Roman" w:hAnsi="Times New Roman" w:eastAsia="Montserrat" w:cs="Times New Roman"/>
          <w:b/>
          <w:bCs/>
          <w:i w:val="0"/>
          <w:iCs w:val="0"/>
          <w:caps w:val="0"/>
          <w:color w:val="000000"/>
          <w:spacing w:val="0"/>
          <w:sz w:val="28"/>
          <w:szCs w:val="28"/>
          <w:shd w:val="clear" w:fill="F9FAFB"/>
          <w:lang w:val="ru-RU"/>
        </w:rPr>
        <w:t xml:space="preserve"> Газотурбинной электростанции </w:t>
      </w:r>
      <w:r>
        <w:rPr>
          <w:rFonts w:hint="default" w:ascii="Times New Roman" w:hAnsi="Times New Roman" w:eastAsia="Montserrat" w:cs="Times New Roman"/>
          <w:b/>
          <w:bCs/>
          <w:i w:val="0"/>
          <w:iCs w:val="0"/>
          <w:caps w:val="0"/>
          <w:color w:val="000000"/>
          <w:spacing w:val="0"/>
          <w:sz w:val="28"/>
          <w:szCs w:val="28"/>
          <w:shd w:val="clear" w:fill="F9FAFB"/>
        </w:rPr>
        <w:t>в городе Актау, Казахстан</w:t>
      </w:r>
    </w:p>
    <w:p w14:paraId="4C60A846">
      <w:pPr>
        <w:pStyle w:val="3"/>
        <w:keepNext w:val="0"/>
        <w:keepLines w:val="0"/>
        <w:widowControl/>
        <w:suppressLineNumbers w:val="0"/>
        <w:pBdr>
          <w:bottom w:val="none" w:color="auto" w:sz="0" w:space="0"/>
        </w:pBdr>
        <w:shd w:val="clear" w:fill="F9FAFB"/>
        <w:ind w:left="0" w:firstLine="0"/>
        <w:jc w:val="center"/>
        <w:rPr>
          <w:rFonts w:hint="default" w:ascii="Times New Roman" w:hAnsi="Times New Roman" w:eastAsia="Montserrat"/>
          <w:b/>
          <w:bCs/>
          <w:color w:val="000000"/>
          <w:kern w:val="2"/>
          <w:sz w:val="28"/>
          <w:szCs w:val="28"/>
          <w:shd w:val="clear" w:fill="F9FAFB"/>
          <w:lang w:val="ru-RU"/>
        </w:rPr>
      </w:pPr>
      <w:r>
        <w:rPr>
          <w:rFonts w:hint="default" w:ascii="Times New Roman" w:hAnsi="Times New Roman" w:eastAsia="Montserrat"/>
          <w:b/>
          <w:bCs/>
          <w:color w:val="000000"/>
          <w:kern w:val="2"/>
          <w:sz w:val="28"/>
          <w:szCs w:val="28"/>
          <w:shd w:val="clear" w:fill="F9FAFB"/>
          <w:lang w:val="ru-RU"/>
        </w:rPr>
        <w:t>услуг по ведению бухгалтерского учета</w:t>
      </w:r>
    </w:p>
    <w:p w14:paraId="40BF6B3A">
      <w:pPr>
        <w:pStyle w:val="10"/>
        <w:jc w:val="center"/>
        <w:rPr>
          <w:rFonts w:ascii="隶书" w:eastAsia="隶书"/>
          <w:sz w:val="44"/>
          <w:szCs w:val="44"/>
        </w:rPr>
      </w:pPr>
      <w:r>
        <w:rPr>
          <w:rFonts w:hint="eastAsia" w:ascii="隶书" w:eastAsia="隶书"/>
          <w:sz w:val="44"/>
          <w:szCs w:val="44"/>
          <w:lang w:val="en-US" w:eastAsia="zh-CN"/>
        </w:rPr>
        <w:t>询比</w:t>
      </w:r>
      <w:r>
        <w:rPr>
          <w:rFonts w:hint="eastAsia" w:ascii="隶书" w:eastAsia="隶书"/>
          <w:sz w:val="44"/>
          <w:szCs w:val="44"/>
        </w:rPr>
        <w:t>采购文件</w:t>
      </w:r>
    </w:p>
    <w:p w14:paraId="4CC2F1ED">
      <w:pPr>
        <w:adjustRightInd w:val="0"/>
        <w:snapToGrid w:val="0"/>
        <w:spacing w:before="120" w:after="0" w:line="360" w:lineRule="auto"/>
        <w:jc w:val="center"/>
        <w:rPr>
          <w:rFonts w:hint="eastAsia" w:ascii="宋体" w:hAnsi="宋体" w:cs="宋体"/>
          <w:kern w:val="0"/>
          <w:sz w:val="32"/>
          <w:szCs w:val="32"/>
        </w:rPr>
      </w:pPr>
      <w:r>
        <w:rPr>
          <w:rFonts w:hint="eastAsia" w:ascii="宋体" w:hAnsi="宋体" w:cs="宋体"/>
          <w:kern w:val="0"/>
          <w:sz w:val="32"/>
          <w:szCs w:val="32"/>
        </w:rPr>
        <w:t>采购编号：</w:t>
      </w:r>
      <w:r>
        <w:rPr>
          <w:rFonts w:ascii="微软雅黑" w:hAnsi="微软雅黑" w:eastAsia="微软雅黑" w:cs="微软雅黑"/>
          <w:i w:val="0"/>
          <w:iCs w:val="0"/>
          <w:caps w:val="0"/>
          <w:color w:val="666666"/>
          <w:spacing w:val="0"/>
          <w:sz w:val="22"/>
          <w:szCs w:val="22"/>
          <w:shd w:val="clear" w:fill="FFFFFF"/>
        </w:rPr>
        <w:t>25XJ-1806-01</w:t>
      </w:r>
    </w:p>
    <w:p w14:paraId="6F27F695">
      <w:pPr>
        <w:pStyle w:val="3"/>
        <w:keepNext w:val="0"/>
        <w:keepLines w:val="0"/>
        <w:widowControl/>
        <w:suppressLineNumbers w:val="0"/>
        <w:pBdr>
          <w:bottom w:val="none" w:color="auto" w:sz="0" w:space="0"/>
        </w:pBdr>
        <w:shd w:val="clear" w:fill="F9FAFB"/>
        <w:ind w:left="0" w:firstLine="0"/>
        <w:jc w:val="center"/>
        <w:rPr>
          <w:rFonts w:hint="default" w:ascii="Times New Roman" w:hAnsi="Times New Roman" w:eastAsia="Segoe UI" w:cs="Times New Roman"/>
          <w:b w:val="0"/>
          <w:bCs w:val="0"/>
          <w:i w:val="0"/>
          <w:iCs w:val="0"/>
          <w:caps w:val="0"/>
          <w:color w:val="000000"/>
          <w:spacing w:val="0"/>
          <w:sz w:val="24"/>
          <w:szCs w:val="24"/>
          <w:shd w:val="clear" w:fill="F9FAFB"/>
        </w:rPr>
      </w:pPr>
      <w:r>
        <w:rPr>
          <w:rFonts w:hint="default" w:ascii="Times New Roman" w:hAnsi="Times New Roman" w:eastAsia="Segoe UI" w:cs="Times New Roman"/>
          <w:b w:val="0"/>
          <w:bCs w:val="0"/>
          <w:i w:val="0"/>
          <w:iCs w:val="0"/>
          <w:caps w:val="0"/>
          <w:color w:val="000000"/>
          <w:spacing w:val="0"/>
          <w:sz w:val="24"/>
          <w:szCs w:val="24"/>
          <w:shd w:val="clear" w:fill="F9FAFB"/>
        </w:rPr>
        <w:t>Закупочная документация для открытых переговоров</w:t>
      </w:r>
    </w:p>
    <w:p w14:paraId="6903FF30">
      <w:pPr>
        <w:pStyle w:val="3"/>
        <w:keepNext w:val="0"/>
        <w:keepLines w:val="0"/>
        <w:widowControl/>
        <w:suppressLineNumbers w:val="0"/>
        <w:pBdr>
          <w:bottom w:val="none" w:color="auto" w:sz="0" w:space="0"/>
        </w:pBdr>
        <w:shd w:val="clear" w:fill="F9FAFB"/>
        <w:ind w:left="0" w:firstLine="0"/>
        <w:jc w:val="center"/>
        <w:rPr>
          <w:rFonts w:hint="default" w:ascii="Times New Roman" w:hAnsi="Times New Roman" w:eastAsia="Segoe UI" w:cs="Times New Roman"/>
          <w:b w:val="0"/>
          <w:bCs w:val="0"/>
          <w:i w:val="0"/>
          <w:iCs w:val="0"/>
          <w:caps w:val="0"/>
          <w:color w:val="000000"/>
          <w:spacing w:val="0"/>
          <w:sz w:val="24"/>
          <w:szCs w:val="24"/>
          <w:shd w:val="clear" w:fill="F9FAFB"/>
          <w:lang w:val="en-US" w:eastAsia="zh-CN"/>
        </w:rPr>
      </w:pPr>
      <w:r>
        <w:rPr>
          <w:rFonts w:hint="default" w:ascii="Times New Roman" w:hAnsi="Times New Roman" w:eastAsia="Segoe UI" w:cs="Times New Roman"/>
          <w:b w:val="0"/>
          <w:bCs w:val="0"/>
          <w:i w:val="0"/>
          <w:iCs w:val="0"/>
          <w:caps w:val="0"/>
          <w:color w:val="000000"/>
          <w:spacing w:val="0"/>
          <w:sz w:val="24"/>
          <w:szCs w:val="24"/>
          <w:shd w:val="clear" w:fill="F9FAFB"/>
          <w:lang w:val="en-US" w:eastAsia="zh-CN"/>
        </w:rPr>
        <w:t xml:space="preserve">Номер закупки: </w:t>
      </w:r>
      <w:r>
        <w:rPr>
          <w:rFonts w:hint="default" w:ascii="微软雅黑" w:hAnsi="微软雅黑" w:eastAsia="微软雅黑" w:cs="微软雅黑"/>
          <w:b w:val="0"/>
          <w:i w:val="0"/>
          <w:iCs w:val="0"/>
          <w:caps w:val="0"/>
          <w:color w:val="666666"/>
          <w:spacing w:val="0"/>
          <w:kern w:val="2"/>
          <w:sz w:val="22"/>
          <w:szCs w:val="22"/>
          <w:shd w:val="clear" w:fill="FFFFFF"/>
        </w:rPr>
        <w:t>25XJ-1806-01</w:t>
      </w:r>
    </w:p>
    <w:p w14:paraId="32673590">
      <w:pPr>
        <w:pStyle w:val="3"/>
        <w:keepNext w:val="0"/>
        <w:keepLines w:val="0"/>
        <w:widowControl/>
        <w:suppressLineNumbers w:val="0"/>
        <w:pBdr>
          <w:bottom w:val="none" w:color="auto" w:sz="0" w:space="0"/>
        </w:pBdr>
        <w:shd w:val="clear" w:fill="F9FAFB"/>
        <w:ind w:left="0" w:firstLine="0"/>
        <w:jc w:val="center"/>
        <w:rPr>
          <w:rFonts w:hint="default" w:ascii="黑体" w:eastAsia="黑体"/>
          <w:sz w:val="32"/>
          <w:szCs w:val="32"/>
          <w:u w:val="single"/>
          <w:lang w:val="en-US" w:eastAsia="zh-CN"/>
        </w:rPr>
      </w:pPr>
      <w:r>
        <w:rPr>
          <w:rFonts w:hint="eastAsia" w:ascii="黑体" w:eastAsia="黑体"/>
          <w:sz w:val="32"/>
          <w:szCs w:val="32"/>
        </w:rPr>
        <w:t>采</w:t>
      </w:r>
      <w:r>
        <w:rPr>
          <w:rFonts w:hint="eastAsia" w:ascii="黑体" w:eastAsia="黑体"/>
          <w:sz w:val="32"/>
          <w:szCs w:val="32"/>
          <w:lang w:val="ru-RU"/>
        </w:rPr>
        <w:t xml:space="preserve">   </w:t>
      </w:r>
      <w:r>
        <w:rPr>
          <w:rFonts w:hint="eastAsia" w:ascii="黑体" w:eastAsia="黑体"/>
          <w:sz w:val="32"/>
          <w:szCs w:val="32"/>
        </w:rPr>
        <w:t>购</w:t>
      </w:r>
      <w:r>
        <w:rPr>
          <w:rFonts w:hint="eastAsia" w:ascii="黑体" w:eastAsia="黑体"/>
          <w:sz w:val="32"/>
          <w:szCs w:val="32"/>
          <w:lang w:val="ru-RU"/>
        </w:rPr>
        <w:t xml:space="preserve"> </w:t>
      </w:r>
      <w:r>
        <w:rPr>
          <w:rFonts w:ascii="黑体" w:eastAsia="黑体"/>
          <w:sz w:val="32"/>
          <w:szCs w:val="32"/>
          <w:lang w:val="ru-RU"/>
        </w:rPr>
        <w:t xml:space="preserve">  </w:t>
      </w:r>
      <w:r>
        <w:rPr>
          <w:rFonts w:ascii="黑体" w:eastAsia="黑体"/>
          <w:sz w:val="32"/>
          <w:szCs w:val="32"/>
        </w:rPr>
        <w:t>人</w:t>
      </w:r>
      <w:r>
        <w:rPr>
          <w:rFonts w:ascii="黑体" w:eastAsia="黑体"/>
          <w:sz w:val="32"/>
          <w:szCs w:val="32"/>
          <w:lang w:val="ru-RU"/>
        </w:rPr>
        <w:t>：</w:t>
      </w:r>
      <w:r>
        <w:rPr>
          <w:rFonts w:hint="eastAsia" w:ascii="黑体" w:eastAsia="黑体"/>
          <w:sz w:val="32"/>
          <w:szCs w:val="32"/>
          <w:lang w:val="en-US" w:eastAsia="zh-CN"/>
        </w:rPr>
        <w:t>中国华电科工集团有限公司哈萨克斯坦分公司</w:t>
      </w:r>
    </w:p>
    <w:p w14:paraId="5A664735">
      <w:pPr>
        <w:pStyle w:val="3"/>
        <w:keepNext w:val="0"/>
        <w:keepLines w:val="0"/>
        <w:widowControl/>
        <w:suppressLineNumbers w:val="0"/>
        <w:pBdr>
          <w:bottom w:val="none" w:color="auto" w:sz="0" w:space="0"/>
        </w:pBdr>
        <w:shd w:val="clear" w:fill="F9FAFB"/>
        <w:ind w:left="0" w:firstLine="0"/>
        <w:jc w:val="center"/>
        <w:rPr>
          <w:rFonts w:ascii="黑体" w:eastAsia="黑体"/>
          <w:sz w:val="32"/>
          <w:szCs w:val="32"/>
        </w:rPr>
      </w:pPr>
      <w:r>
        <w:rPr>
          <w:rFonts w:ascii="黑体" w:eastAsia="黑体"/>
          <w:sz w:val="32"/>
          <w:szCs w:val="32"/>
          <w:lang w:val="ru-RU"/>
        </w:rPr>
        <w:t xml:space="preserve"> </w:t>
      </w:r>
      <w:r>
        <w:rPr>
          <w:rFonts w:hint="eastAsia" w:ascii="黑体" w:eastAsia="黑体"/>
          <w:sz w:val="32"/>
          <w:szCs w:val="32"/>
          <w:lang w:val="ru-RU"/>
        </w:rPr>
        <w:t>2025</w:t>
      </w:r>
      <w:r>
        <w:rPr>
          <w:rFonts w:ascii="黑体" w:eastAsia="黑体"/>
          <w:sz w:val="32"/>
          <w:szCs w:val="32"/>
        </w:rPr>
        <w:t>年</w:t>
      </w:r>
      <w:r>
        <w:rPr>
          <w:rFonts w:hint="eastAsia" w:ascii="黑体" w:eastAsia="黑体"/>
          <w:sz w:val="32"/>
          <w:szCs w:val="32"/>
          <w:lang w:val="en-US" w:eastAsia="zh-CN"/>
        </w:rPr>
        <w:t>9</w:t>
      </w:r>
      <w:r>
        <w:rPr>
          <w:rFonts w:ascii="黑体" w:eastAsia="黑体"/>
          <w:sz w:val="32"/>
          <w:szCs w:val="32"/>
        </w:rPr>
        <w:t>月</w:t>
      </w:r>
    </w:p>
    <w:p w14:paraId="45183F0C">
      <w:pPr>
        <w:spacing w:before="156" w:beforeLines="50" w:after="156" w:afterLines="50" w:line="360" w:lineRule="auto"/>
        <w:ind w:firstLine="480" w:firstLineChars="200"/>
        <w:jc w:val="left"/>
        <w:rPr>
          <w:rFonts w:hint="default" w:ascii="Times New Roman" w:hAnsi="Times New Roman" w:eastAsia="仿宋" w:cs="Times New Roman"/>
          <w:b/>
          <w:color w:val="000000" w:themeColor="text1"/>
          <w:sz w:val="24"/>
          <w:szCs w:val="24"/>
          <w:lang w:eastAsia="zh-CN"/>
          <w14:textFill>
            <w14:solidFill>
              <w14:schemeClr w14:val="tx1"/>
            </w14:solidFill>
          </w14:textFill>
        </w:rPr>
      </w:pPr>
      <w:r>
        <w:rPr>
          <w:rFonts w:hint="default" w:ascii="Times New Roman" w:hAnsi="Times New Roman" w:eastAsia="Segoe UI" w:cs="Times New Roman"/>
          <w:b w:val="0"/>
          <w:bCs w:val="0"/>
          <w:i w:val="0"/>
          <w:iCs w:val="0"/>
          <w:caps w:val="0"/>
          <w:color w:val="000000"/>
          <w:spacing w:val="0"/>
          <w:sz w:val="24"/>
          <w:szCs w:val="24"/>
          <w:shd w:val="clear" w:fill="F9FAFB"/>
          <w:lang w:val="en-US" w:eastAsia="zh-CN"/>
        </w:rPr>
        <w:t xml:space="preserve">Заказчик: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Казахстанский филиал Корпорации</w:t>
      </w:r>
      <w:r>
        <w:rPr>
          <w:rFonts w:hint="eastAsia" w:ascii="Times New Roman" w:hAnsi="Times New Roman" w:eastAsia="宋体" w:cs="Times New Roman"/>
          <w:i w:val="0"/>
          <w:iCs w:val="0"/>
          <w:caps w:val="0"/>
          <w:color w:val="000000" w:themeColor="text1"/>
          <w:spacing w:val="0"/>
          <w:sz w:val="24"/>
          <w:szCs w:val="24"/>
          <w:shd w:val="clear" w:fill="FFFFFF"/>
          <w:lang w:val="en-US" w:eastAsia="zh-CN"/>
          <w14:textFill>
            <w14:solidFill>
              <w14:schemeClr w14:val="tx1"/>
            </w14:solidFill>
          </w14:textFill>
        </w:rPr>
        <w:t xml:space="preserve">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«China Huadian Engineering Co., Ltd.»</w:t>
      </w:r>
    </w:p>
    <w:p w14:paraId="4E762EE2">
      <w:pPr>
        <w:pStyle w:val="3"/>
        <w:keepNext w:val="0"/>
        <w:keepLines w:val="0"/>
        <w:widowControl/>
        <w:suppressLineNumbers w:val="0"/>
        <w:pBdr>
          <w:bottom w:val="none" w:color="auto" w:sz="0" w:space="0"/>
        </w:pBdr>
        <w:shd w:val="clear" w:fill="F9FAFB"/>
        <w:ind w:left="0" w:firstLine="0"/>
        <w:jc w:val="center"/>
        <w:rPr>
          <w:rFonts w:hint="default" w:ascii="Times New Roman" w:hAnsi="Times New Roman" w:eastAsia="Segoe UI" w:cs="Times New Roman"/>
          <w:b w:val="0"/>
          <w:bCs w:val="0"/>
          <w:i w:val="0"/>
          <w:iCs w:val="0"/>
          <w:caps w:val="0"/>
          <w:color w:val="000000"/>
          <w:spacing w:val="0"/>
          <w:sz w:val="24"/>
          <w:szCs w:val="24"/>
          <w:shd w:val="clear" w:fill="F9FAFB"/>
        </w:rPr>
      </w:pPr>
    </w:p>
    <w:p w14:paraId="41AF4EDC">
      <w:pPr>
        <w:pStyle w:val="3"/>
        <w:keepNext w:val="0"/>
        <w:keepLines w:val="0"/>
        <w:widowControl/>
        <w:suppressLineNumbers w:val="0"/>
        <w:pBdr>
          <w:bottom w:val="none" w:color="auto" w:sz="0" w:space="0"/>
        </w:pBdr>
        <w:shd w:val="clear" w:fill="F9FAFB"/>
        <w:ind w:left="0" w:firstLine="0"/>
        <w:jc w:val="center"/>
        <w:rPr>
          <w:rFonts w:hint="default" w:ascii="Times New Roman" w:hAnsi="Times New Roman" w:eastAsia="Segoe UI" w:cs="Times New Roman"/>
          <w:b w:val="0"/>
          <w:bCs w:val="0"/>
          <w:i w:val="0"/>
          <w:iCs w:val="0"/>
          <w:caps w:val="0"/>
          <w:color w:val="000000"/>
          <w:spacing w:val="0"/>
          <w:sz w:val="24"/>
          <w:szCs w:val="24"/>
          <w:shd w:val="clear" w:fill="F9FAFB"/>
        </w:rPr>
      </w:pPr>
      <w:r>
        <w:rPr>
          <w:rFonts w:hint="default" w:ascii="Times New Roman" w:hAnsi="Times New Roman" w:eastAsia="Segoe UI" w:cs="Times New Roman"/>
          <w:b w:val="0"/>
          <w:bCs w:val="0"/>
          <w:i w:val="0"/>
          <w:iCs w:val="0"/>
          <w:caps w:val="0"/>
          <w:color w:val="000000"/>
          <w:spacing w:val="0"/>
          <w:sz w:val="24"/>
          <w:szCs w:val="24"/>
          <w:shd w:val="clear" w:fill="F9FAFB"/>
          <w:lang w:val="en-US" w:eastAsia="zh-CN"/>
        </w:rPr>
        <w:t>Сентябрь 2025 года</w:t>
      </w:r>
    </w:p>
    <w:p w14:paraId="74013FF2">
      <w:pPr>
        <w:pStyle w:val="5"/>
        <w:ind w:firstLine="480"/>
        <w:rPr>
          <w:lang w:val="ru-RU"/>
        </w:rPr>
      </w:pPr>
    </w:p>
    <w:sdt>
      <w:sdtPr>
        <w:rPr>
          <w:rFonts w:hint="eastAsia" w:ascii="宋体" w:hAnsi="宋体"/>
          <w:b/>
          <w:kern w:val="0"/>
          <w:sz w:val="36"/>
          <w:szCs w:val="36"/>
        </w:rPr>
        <w:id w:val="147465759"/>
        <w15:color w:val="DBDBDB"/>
        <w:docPartObj>
          <w:docPartGallery w:val="Table of Contents"/>
          <w:docPartUnique/>
        </w:docPartObj>
      </w:sdtPr>
      <w:sdtEndPr>
        <w:rPr>
          <w:rFonts w:hint="default" w:asciiTheme="minorHAnsi" w:hAnsiTheme="minorHAnsi"/>
          <w:b/>
          <w:kern w:val="0"/>
          <w:sz w:val="36"/>
          <w:szCs w:val="36"/>
          <w:lang w:val="ru-RU"/>
        </w:rPr>
      </w:sdtEndPr>
      <w:sdtContent>
        <w:p w14:paraId="03697E34">
          <w:pPr>
            <w:spacing w:after="0" w:line="240" w:lineRule="auto"/>
            <w:jc w:val="center"/>
            <w:rPr>
              <w:rFonts w:hint="eastAsia" w:ascii="宋体" w:hAnsi="宋体" w:eastAsia="宋体" w:cs="宋体"/>
            </w:rPr>
          </w:pPr>
          <w:r>
            <w:rPr>
              <w:rFonts w:hint="eastAsia" w:ascii="宋体" w:hAnsi="宋体" w:eastAsia="宋体" w:cs="宋体"/>
            </w:rPr>
            <w:t>目录</w:t>
          </w:r>
        </w:p>
        <w:p w14:paraId="1FC5DF91">
          <w:pPr>
            <w:pStyle w:val="14"/>
            <w:tabs>
              <w:tab w:val="right" w:leader="dot" w:pos="8306"/>
            </w:tabs>
            <w:rPr>
              <w:rFonts w:hint="eastAsia" w:ascii="宋体" w:hAnsi="宋体" w:eastAsia="宋体" w:cs="宋体"/>
            </w:rPr>
          </w:pPr>
          <w:r>
            <w:rPr>
              <w:rFonts w:hint="eastAsia" w:ascii="宋体" w:hAnsi="宋体" w:eastAsia="宋体" w:cs="宋体"/>
              <w:lang w:val="ru-RU"/>
            </w:rPr>
            <w:fldChar w:fldCharType="begin"/>
          </w:r>
          <w:r>
            <w:rPr>
              <w:rFonts w:hint="eastAsia" w:ascii="宋体" w:hAnsi="宋体" w:eastAsia="宋体" w:cs="宋体"/>
              <w:lang w:val="ru-RU"/>
            </w:rPr>
            <w:instrText xml:space="preserve">TOC \o "1-1" \h \u </w:instrText>
          </w:r>
          <w:r>
            <w:rPr>
              <w:rFonts w:hint="eastAsia" w:ascii="宋体" w:hAnsi="宋体" w:eastAsia="宋体" w:cs="宋体"/>
              <w:lang w:val="ru-RU"/>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"_Toc11916" </w:instrText>
          </w:r>
          <w:r>
            <w:rPr>
              <w:rFonts w:hint="eastAsia" w:ascii="宋体" w:hAnsi="宋体" w:eastAsia="宋体" w:cs="宋体"/>
            </w:rPr>
            <w:fldChar w:fldCharType="separate"/>
          </w:r>
          <w:r>
            <w:rPr>
              <w:rFonts w:hint="eastAsia" w:ascii="宋体" w:hAnsi="宋体" w:eastAsia="宋体" w:cs="宋体"/>
              <w:szCs w:val="44"/>
            </w:rPr>
            <w:t>第一章 采购公告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_Toc11916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60E3CB9">
          <w:pPr>
            <w:pStyle w:val="14"/>
            <w:tabs>
              <w:tab w:val="right" w:leader="dot" w:pos="830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"_Toc10865" </w:instrText>
          </w:r>
          <w:r>
            <w:rPr>
              <w:rFonts w:hint="eastAsia" w:ascii="宋体" w:hAnsi="宋体" w:eastAsia="宋体" w:cs="宋体"/>
            </w:rPr>
            <w:fldChar w:fldCharType="separate"/>
          </w:r>
          <w:r>
            <w:rPr>
              <w:rFonts w:hint="eastAsia" w:ascii="宋体" w:hAnsi="宋体" w:eastAsia="宋体" w:cs="宋体"/>
              <w:kern w:val="44"/>
              <w:szCs w:val="36"/>
            </w:rPr>
            <w:t>第二章 供应商须知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_Toc10865 \h </w:instrText>
          </w:r>
          <w:r>
            <w:rPr>
              <w:rFonts w:hint="eastAsia" w:ascii="宋体" w:hAnsi="宋体" w:eastAsia="宋体" w:cs="宋体"/>
            </w:rPr>
            <w:fldChar w:fldCharType="separate"/>
          </w:r>
          <w:r>
            <w:rPr>
              <w:rFonts w:hint="eastAsia" w:ascii="宋体" w:hAnsi="宋体" w:eastAsia="宋体" w:cs="宋体"/>
            </w:rPr>
            <w:t>31</w:t>
          </w:r>
          <w:r>
            <w:rPr>
              <w:rFonts w:hint="eastAsia" w:ascii="宋体" w:hAnsi="宋体" w:eastAsia="宋体" w:cs="宋体"/>
            </w:rPr>
            <w:fldChar w:fldCharType="end"/>
          </w:r>
          <w:r>
            <w:rPr>
              <w:rFonts w:hint="eastAsia" w:ascii="宋体" w:hAnsi="宋体" w:eastAsia="宋体" w:cs="宋体"/>
            </w:rPr>
            <w:fldChar w:fldCharType="end"/>
          </w:r>
        </w:p>
        <w:p w14:paraId="72FF40CB">
          <w:pPr>
            <w:pStyle w:val="14"/>
            <w:tabs>
              <w:tab w:val="right" w:leader="dot" w:pos="830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"_Toc25740" </w:instrText>
          </w:r>
          <w:r>
            <w:rPr>
              <w:rFonts w:hint="eastAsia" w:ascii="宋体" w:hAnsi="宋体" w:eastAsia="宋体" w:cs="宋体"/>
            </w:rPr>
            <w:fldChar w:fldCharType="separate"/>
          </w:r>
          <w:r>
            <w:rPr>
              <w:rFonts w:hint="eastAsia" w:ascii="宋体" w:hAnsi="宋体" w:eastAsia="宋体" w:cs="宋体"/>
              <w:kern w:val="0"/>
            </w:rPr>
            <w:t>第三章 评审办法(经评审的最低价法)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_Toc25740 \h </w:instrText>
          </w:r>
          <w:r>
            <w:rPr>
              <w:rFonts w:hint="eastAsia" w:ascii="宋体" w:hAnsi="宋体" w:eastAsia="宋体" w:cs="宋体"/>
            </w:rPr>
            <w:fldChar w:fldCharType="separate"/>
          </w:r>
          <w:r>
            <w:rPr>
              <w:rFonts w:hint="eastAsia" w:ascii="宋体" w:hAnsi="宋体" w:eastAsia="宋体" w:cs="宋体"/>
            </w:rPr>
            <w:t>34</w:t>
          </w:r>
          <w:r>
            <w:rPr>
              <w:rFonts w:hint="eastAsia" w:ascii="宋体" w:hAnsi="宋体" w:eastAsia="宋体" w:cs="宋体"/>
            </w:rPr>
            <w:fldChar w:fldCharType="end"/>
          </w:r>
          <w:r>
            <w:rPr>
              <w:rFonts w:hint="eastAsia" w:ascii="宋体" w:hAnsi="宋体" w:eastAsia="宋体" w:cs="宋体"/>
            </w:rPr>
            <w:fldChar w:fldCharType="end"/>
          </w:r>
        </w:p>
        <w:p w14:paraId="1C526EDE">
          <w:pPr>
            <w:pStyle w:val="14"/>
            <w:tabs>
              <w:tab w:val="right" w:leader="dot" w:pos="830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"_Toc15050" </w:instrText>
          </w:r>
          <w:r>
            <w:rPr>
              <w:rFonts w:hint="eastAsia" w:ascii="宋体" w:hAnsi="宋体" w:eastAsia="宋体" w:cs="宋体"/>
            </w:rPr>
            <w:fldChar w:fldCharType="separate"/>
          </w:r>
          <w:r>
            <w:rPr>
              <w:rFonts w:hint="eastAsia" w:ascii="宋体" w:hAnsi="宋体" w:eastAsia="宋体" w:cs="宋体"/>
              <w:kern w:val="0"/>
            </w:rPr>
            <w:t>第四章 合同文件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_Toc15050 \h </w:instrText>
          </w:r>
          <w:r>
            <w:rPr>
              <w:rFonts w:hint="eastAsia" w:ascii="宋体" w:hAnsi="宋体" w:eastAsia="宋体" w:cs="宋体"/>
            </w:rPr>
            <w:fldChar w:fldCharType="separate"/>
          </w:r>
          <w:r>
            <w:rPr>
              <w:rFonts w:hint="eastAsia" w:ascii="宋体" w:hAnsi="宋体" w:eastAsia="宋体" w:cs="宋体"/>
            </w:rPr>
            <w:t>39</w:t>
          </w:r>
          <w:r>
            <w:rPr>
              <w:rFonts w:hint="eastAsia" w:ascii="宋体" w:hAnsi="宋体" w:eastAsia="宋体" w:cs="宋体"/>
            </w:rPr>
            <w:fldChar w:fldCharType="end"/>
          </w:r>
          <w:r>
            <w:rPr>
              <w:rFonts w:hint="eastAsia" w:ascii="宋体" w:hAnsi="宋体" w:eastAsia="宋体" w:cs="宋体"/>
            </w:rPr>
            <w:fldChar w:fldCharType="end"/>
          </w:r>
        </w:p>
        <w:p w14:paraId="19CBDB9A">
          <w:pPr>
            <w:pStyle w:val="14"/>
            <w:tabs>
              <w:tab w:val="right" w:leader="dot" w:pos="830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"_Toc16530" </w:instrText>
          </w:r>
          <w:r>
            <w:rPr>
              <w:rFonts w:hint="eastAsia" w:ascii="宋体" w:hAnsi="宋体" w:eastAsia="宋体" w:cs="宋体"/>
            </w:rPr>
            <w:fldChar w:fldCharType="separate"/>
          </w:r>
          <w:r>
            <w:rPr>
              <w:rFonts w:hint="eastAsia" w:ascii="宋体" w:hAnsi="宋体" w:eastAsia="宋体" w:cs="宋体"/>
              <w:kern w:val="0"/>
            </w:rPr>
            <w:t>第五章 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_Toc16530 \h </w:instrText>
          </w:r>
          <w:r>
            <w:rPr>
              <w:rFonts w:hint="eastAsia" w:ascii="宋体" w:hAnsi="宋体" w:eastAsia="宋体" w:cs="宋体"/>
            </w:rPr>
            <w:fldChar w:fldCharType="separate"/>
          </w:r>
          <w:r>
            <w:rPr>
              <w:rFonts w:hint="eastAsia" w:ascii="宋体" w:hAnsi="宋体" w:eastAsia="宋体" w:cs="宋体"/>
            </w:rPr>
            <w:t>40</w:t>
          </w:r>
          <w:r>
            <w:rPr>
              <w:rFonts w:hint="eastAsia" w:ascii="宋体" w:hAnsi="宋体" w:eastAsia="宋体" w:cs="宋体"/>
            </w:rPr>
            <w:fldChar w:fldCharType="end"/>
          </w:r>
          <w:r>
            <w:rPr>
              <w:rFonts w:hint="eastAsia" w:ascii="宋体" w:hAnsi="宋体" w:eastAsia="宋体" w:cs="宋体"/>
            </w:rPr>
            <w:fldChar w:fldCharType="end"/>
          </w:r>
        </w:p>
        <w:p w14:paraId="65C16744">
          <w:pPr>
            <w:pStyle w:val="14"/>
            <w:tabs>
              <w:tab w:val="right" w:leader="dot" w:pos="830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"_Toc4904" </w:instrText>
          </w:r>
          <w:r>
            <w:rPr>
              <w:rFonts w:hint="eastAsia" w:ascii="宋体" w:hAnsi="宋体" w:eastAsia="宋体" w:cs="宋体"/>
            </w:rPr>
            <w:fldChar w:fldCharType="separate"/>
          </w:r>
          <w:r>
            <w:rPr>
              <w:rFonts w:hint="eastAsia" w:ascii="宋体" w:hAnsi="宋体" w:eastAsia="宋体" w:cs="宋体"/>
              <w:kern w:val="44"/>
              <w:szCs w:val="44"/>
            </w:rPr>
            <w:t>第六章 响应文件格式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_Toc4904 \h </w:instrText>
          </w:r>
          <w:r>
            <w:rPr>
              <w:rFonts w:hint="eastAsia" w:ascii="宋体" w:hAnsi="宋体" w:eastAsia="宋体" w:cs="宋体"/>
            </w:rPr>
            <w:fldChar w:fldCharType="separate"/>
          </w:r>
          <w:r>
            <w:rPr>
              <w:rFonts w:hint="eastAsia" w:ascii="宋体" w:hAnsi="宋体" w:eastAsia="宋体" w:cs="宋体"/>
            </w:rPr>
            <w:t>41</w:t>
          </w:r>
          <w:r>
            <w:rPr>
              <w:rFonts w:hint="eastAsia" w:ascii="宋体" w:hAnsi="宋体" w:eastAsia="宋体" w:cs="宋体"/>
            </w:rPr>
            <w:fldChar w:fldCharType="end"/>
          </w:r>
          <w:r>
            <w:rPr>
              <w:rFonts w:hint="eastAsia" w:ascii="宋体" w:hAnsi="宋体" w:eastAsia="宋体" w:cs="宋体"/>
            </w:rPr>
            <w:fldChar w:fldCharType="end"/>
          </w:r>
        </w:p>
        <w:p w14:paraId="0EAA02DF">
          <w:pPr>
            <w:pStyle w:val="3"/>
            <w:keepNext w:val="0"/>
            <w:keepLines w:val="0"/>
            <w:widowControl/>
            <w:suppressLineNumbers w:val="0"/>
            <w:pBdr>
              <w:bottom w:val="none" w:color="auto" w:sz="0" w:space="0"/>
            </w:pBdr>
            <w:shd w:val="clear" w:fill="F9FAFB"/>
            <w:ind w:left="0" w:firstLine="0"/>
            <w:rPr>
              <w:rFonts w:hint="default" w:asciiTheme="minorHAnsi" w:hAnsiTheme="minorHAnsi"/>
              <w:b/>
              <w:kern w:val="0"/>
              <w:sz w:val="36"/>
              <w:szCs w:val="36"/>
              <w:lang w:val="ru-RU"/>
            </w:rPr>
          </w:pPr>
          <w:r>
            <w:rPr>
              <w:rFonts w:hint="eastAsia" w:ascii="宋体" w:hAnsi="宋体" w:eastAsia="宋体" w:cs="宋体"/>
              <w:lang w:val="ru-RU"/>
            </w:rPr>
            <w:fldChar w:fldCharType="end"/>
          </w:r>
        </w:p>
      </w:sdtContent>
    </w:sdt>
    <w:p w14:paraId="357B926C">
      <w:pPr>
        <w:pStyle w:val="3"/>
        <w:keepNext w:val="0"/>
        <w:keepLines w:val="0"/>
        <w:widowControl/>
        <w:suppressLineNumbers w:val="0"/>
        <w:pBdr>
          <w:bottom w:val="none" w:color="auto" w:sz="0" w:space="0"/>
        </w:pBdr>
        <w:shd w:val="clear" w:fill="F9FAFB"/>
        <w:ind w:left="0" w:firstLine="0"/>
        <w:rPr>
          <w:rFonts w:hint="default" w:ascii="Times New Roman" w:hAnsi="Times New Roman" w:eastAsia="Segoe UI" w:cs="Times New Roman"/>
          <w:b/>
          <w:bCs/>
          <w:i w:val="0"/>
          <w:iCs w:val="0"/>
          <w:caps w:val="0"/>
          <w:color w:val="000000"/>
          <w:spacing w:val="0"/>
        </w:rPr>
      </w:pPr>
      <w:r>
        <w:rPr>
          <w:rFonts w:hint="default" w:ascii="Times New Roman" w:hAnsi="Times New Roman" w:eastAsia="Segoe UI" w:cs="Times New Roman"/>
          <w:b/>
          <w:bCs/>
          <w:i w:val="0"/>
          <w:iCs w:val="0"/>
          <w:caps w:val="0"/>
          <w:color w:val="000000"/>
          <w:spacing w:val="0"/>
          <w:shd w:val="clear" w:fill="F9FAFB"/>
        </w:rPr>
        <w:t>Каталог</w:t>
      </w:r>
    </w:p>
    <w:p w14:paraId="6ADBD9CD">
      <w:pPr>
        <w:keepNext w:val="0"/>
        <w:keepLines w:val="0"/>
        <w:widowControl/>
        <w:numPr>
          <w:ilvl w:val="0"/>
          <w:numId w:val="3"/>
        </w:numPr>
        <w:suppressLineNumbers w:val="0"/>
        <w:pBdr>
          <w:left w:val="none" w:color="auto" w:sz="0" w:space="0"/>
        </w:pBdr>
        <w:spacing w:before="0" w:beforeAutospacing="1" w:after="0" w:afterAutospacing="1"/>
        <w:ind w:left="720" w:hanging="360"/>
        <w:rPr>
          <w:rFonts w:hint="default" w:ascii="Times New Roman" w:hAnsi="Times New Roman" w:cs="Times New Roman"/>
          <w:sz w:val="28"/>
          <w:szCs w:val="28"/>
        </w:rPr>
      </w:pPr>
      <w:r>
        <w:rPr>
          <w:rFonts w:hint="default" w:ascii="Times New Roman" w:hAnsi="Times New Roman" w:eastAsia="Segoe UI" w:cs="Times New Roman"/>
          <w:i w:val="0"/>
          <w:iCs w:val="0"/>
          <w:caps w:val="0"/>
          <w:color w:val="000000"/>
          <w:spacing w:val="0"/>
          <w:sz w:val="28"/>
          <w:szCs w:val="28"/>
          <w:shd w:val="clear" w:fill="F9FAFB"/>
        </w:rPr>
        <w:t>Глава I. Уведомления о закупках -</w:t>
      </w:r>
      <w:r>
        <w:rPr>
          <w:rFonts w:hint="default" w:ascii="Times New Roman" w:hAnsi="Times New Roman" w:eastAsia="Segoe UI" w:cs="Times New Roman"/>
          <w:i w:val="0"/>
          <w:iCs w:val="0"/>
          <w:caps w:val="0"/>
          <w:color w:val="000000"/>
          <w:spacing w:val="0"/>
          <w:sz w:val="28"/>
          <w:szCs w:val="28"/>
          <w:shd w:val="clear" w:fill="F9FAFB"/>
          <w:lang w:val="ru-RU"/>
        </w:rPr>
        <w:t>----------------</w:t>
      </w:r>
      <w:r>
        <w:rPr>
          <w:rFonts w:hint="default" w:ascii="Times New Roman" w:hAnsi="Times New Roman" w:eastAsia="Segoe UI" w:cs="Times New Roman"/>
          <w:i w:val="0"/>
          <w:iCs w:val="0"/>
          <w:caps w:val="0"/>
          <w:color w:val="000000"/>
          <w:spacing w:val="0"/>
          <w:sz w:val="28"/>
          <w:szCs w:val="28"/>
          <w:shd w:val="clear" w:fill="F9FAFB"/>
        </w:rPr>
        <w:t xml:space="preserve"> 3</w:t>
      </w:r>
    </w:p>
    <w:p w14:paraId="6719D653">
      <w:pPr>
        <w:keepNext w:val="0"/>
        <w:keepLines w:val="0"/>
        <w:widowControl/>
        <w:numPr>
          <w:ilvl w:val="0"/>
          <w:numId w:val="3"/>
        </w:numPr>
        <w:suppressLineNumbers w:val="0"/>
        <w:pBdr>
          <w:left w:val="none" w:color="auto" w:sz="0" w:space="0"/>
        </w:pBdr>
        <w:spacing w:before="0" w:beforeAutospacing="1" w:after="0" w:afterAutospacing="1"/>
        <w:ind w:left="720" w:hanging="360"/>
        <w:rPr>
          <w:rFonts w:hint="default" w:ascii="Times New Roman" w:hAnsi="Times New Roman" w:cs="Times New Roman"/>
          <w:sz w:val="28"/>
          <w:szCs w:val="28"/>
        </w:rPr>
      </w:pPr>
      <w:r>
        <w:rPr>
          <w:rFonts w:hint="default" w:ascii="Times New Roman" w:hAnsi="Times New Roman" w:eastAsia="Segoe UI" w:cs="Times New Roman"/>
          <w:i w:val="0"/>
          <w:iCs w:val="0"/>
          <w:caps w:val="0"/>
          <w:color w:val="000000"/>
          <w:spacing w:val="0"/>
          <w:sz w:val="28"/>
          <w:szCs w:val="28"/>
          <w:shd w:val="clear" w:fill="F9FAFB"/>
        </w:rPr>
        <w:t>Глава II. Информация для поставщиков -</w:t>
      </w:r>
      <w:r>
        <w:rPr>
          <w:rFonts w:hint="default" w:ascii="Times New Roman" w:hAnsi="Times New Roman" w:eastAsia="Segoe UI" w:cs="Times New Roman"/>
          <w:i w:val="0"/>
          <w:iCs w:val="0"/>
          <w:caps w:val="0"/>
          <w:color w:val="000000"/>
          <w:spacing w:val="0"/>
          <w:sz w:val="28"/>
          <w:szCs w:val="28"/>
          <w:shd w:val="clear" w:fill="F9FAFB"/>
          <w:lang w:val="ru-RU"/>
        </w:rPr>
        <w:t>------</w:t>
      </w:r>
      <w:r>
        <w:rPr>
          <w:rFonts w:hint="default" w:ascii="Times New Roman" w:hAnsi="Times New Roman" w:eastAsia="Segoe UI" w:cs="Times New Roman"/>
          <w:i w:val="0"/>
          <w:iCs w:val="0"/>
          <w:caps w:val="0"/>
          <w:color w:val="000000"/>
          <w:spacing w:val="0"/>
          <w:sz w:val="28"/>
          <w:szCs w:val="28"/>
          <w:shd w:val="clear" w:fill="F9FAFB"/>
        </w:rPr>
        <w:t xml:space="preserve"> 31</w:t>
      </w:r>
    </w:p>
    <w:p w14:paraId="67AACBC4">
      <w:pPr>
        <w:keepNext w:val="0"/>
        <w:keepLines w:val="0"/>
        <w:widowControl/>
        <w:numPr>
          <w:ilvl w:val="0"/>
          <w:numId w:val="3"/>
        </w:numPr>
        <w:suppressLineNumbers w:val="0"/>
        <w:pBdr>
          <w:left w:val="none" w:color="auto" w:sz="0" w:space="0"/>
        </w:pBdr>
        <w:spacing w:before="0" w:beforeAutospacing="1" w:after="0" w:afterAutospacing="1"/>
        <w:ind w:left="720" w:hanging="360"/>
        <w:rPr>
          <w:rFonts w:hint="default" w:ascii="Times New Roman" w:hAnsi="Times New Roman" w:cs="Times New Roman"/>
          <w:sz w:val="28"/>
          <w:szCs w:val="28"/>
        </w:rPr>
      </w:pPr>
      <w:r>
        <w:rPr>
          <w:rFonts w:hint="default" w:ascii="Times New Roman" w:hAnsi="Times New Roman" w:eastAsia="Segoe UI" w:cs="Times New Roman"/>
          <w:i w:val="0"/>
          <w:iCs w:val="0"/>
          <w:caps w:val="0"/>
          <w:color w:val="000000"/>
          <w:spacing w:val="0"/>
          <w:sz w:val="28"/>
          <w:szCs w:val="28"/>
          <w:shd w:val="clear" w:fill="F9FAFB"/>
        </w:rPr>
        <w:t>Глава III. Метод оценки (метод предложения с наименьшей оценкой) -</w:t>
      </w:r>
      <w:r>
        <w:rPr>
          <w:rFonts w:hint="default" w:ascii="Times New Roman" w:hAnsi="Times New Roman" w:eastAsia="Segoe UI" w:cs="Times New Roman"/>
          <w:i w:val="0"/>
          <w:iCs w:val="0"/>
          <w:caps w:val="0"/>
          <w:color w:val="000000"/>
          <w:spacing w:val="0"/>
          <w:sz w:val="28"/>
          <w:szCs w:val="28"/>
          <w:shd w:val="clear" w:fill="F9FAFB"/>
          <w:lang w:val="ru-RU"/>
        </w:rPr>
        <w:t>---------------------------------------------</w:t>
      </w:r>
      <w:r>
        <w:rPr>
          <w:rFonts w:hint="default" w:ascii="Times New Roman" w:hAnsi="Times New Roman" w:eastAsia="Segoe UI" w:cs="Times New Roman"/>
          <w:i w:val="0"/>
          <w:iCs w:val="0"/>
          <w:caps w:val="0"/>
          <w:color w:val="000000"/>
          <w:spacing w:val="0"/>
          <w:sz w:val="28"/>
          <w:szCs w:val="28"/>
          <w:shd w:val="clear" w:fill="F9FAFB"/>
        </w:rPr>
        <w:t xml:space="preserve"> 34</w:t>
      </w:r>
    </w:p>
    <w:p w14:paraId="538CA3DE">
      <w:pPr>
        <w:keepNext w:val="0"/>
        <w:keepLines w:val="0"/>
        <w:widowControl/>
        <w:numPr>
          <w:ilvl w:val="0"/>
          <w:numId w:val="3"/>
        </w:numPr>
        <w:suppressLineNumbers w:val="0"/>
        <w:pBdr>
          <w:left w:val="none" w:color="auto" w:sz="0" w:space="0"/>
        </w:pBdr>
        <w:spacing w:before="0" w:beforeAutospacing="1" w:after="0" w:afterAutospacing="1"/>
        <w:ind w:left="720" w:hanging="360"/>
        <w:rPr>
          <w:rFonts w:hint="default" w:ascii="Times New Roman" w:hAnsi="Times New Roman" w:cs="Times New Roman"/>
          <w:sz w:val="28"/>
          <w:szCs w:val="28"/>
        </w:rPr>
      </w:pPr>
      <w:r>
        <w:rPr>
          <w:rFonts w:hint="default" w:ascii="Times New Roman" w:hAnsi="Times New Roman" w:eastAsia="Segoe UI" w:cs="Times New Roman"/>
          <w:i w:val="0"/>
          <w:iCs w:val="0"/>
          <w:caps w:val="0"/>
          <w:color w:val="000000"/>
          <w:spacing w:val="0"/>
          <w:sz w:val="28"/>
          <w:szCs w:val="28"/>
          <w:shd w:val="clear" w:fill="F9FAFB"/>
        </w:rPr>
        <w:t xml:space="preserve">Глава IV. Контрактная документация - </w:t>
      </w:r>
      <w:r>
        <w:rPr>
          <w:rFonts w:hint="default" w:ascii="Times New Roman" w:hAnsi="Times New Roman" w:eastAsia="Segoe UI" w:cs="Times New Roman"/>
          <w:i w:val="0"/>
          <w:iCs w:val="0"/>
          <w:caps w:val="0"/>
          <w:color w:val="000000"/>
          <w:spacing w:val="0"/>
          <w:sz w:val="28"/>
          <w:szCs w:val="28"/>
          <w:shd w:val="clear" w:fill="F9FAFB"/>
          <w:lang w:val="ru-RU"/>
        </w:rPr>
        <w:t>---------</w:t>
      </w:r>
      <w:r>
        <w:rPr>
          <w:rFonts w:hint="default" w:ascii="Times New Roman" w:hAnsi="Times New Roman" w:eastAsia="Segoe UI" w:cs="Times New Roman"/>
          <w:i w:val="0"/>
          <w:iCs w:val="0"/>
          <w:caps w:val="0"/>
          <w:color w:val="000000"/>
          <w:spacing w:val="0"/>
          <w:sz w:val="28"/>
          <w:szCs w:val="28"/>
          <w:shd w:val="clear" w:fill="F9FAFB"/>
        </w:rPr>
        <w:t>39</w:t>
      </w:r>
    </w:p>
    <w:p w14:paraId="02932176">
      <w:pPr>
        <w:keepNext w:val="0"/>
        <w:keepLines w:val="0"/>
        <w:widowControl/>
        <w:numPr>
          <w:ilvl w:val="0"/>
          <w:numId w:val="3"/>
        </w:numPr>
        <w:suppressLineNumbers w:val="0"/>
        <w:pBdr>
          <w:left w:val="none" w:color="auto" w:sz="0" w:space="0"/>
        </w:pBdr>
        <w:spacing w:before="0" w:beforeAutospacing="1" w:after="0" w:afterAutospacing="1"/>
        <w:ind w:left="720" w:hanging="360"/>
        <w:rPr>
          <w:rFonts w:hint="default" w:ascii="Times New Roman" w:hAnsi="Times New Roman" w:cs="Times New Roman"/>
          <w:sz w:val="28"/>
          <w:szCs w:val="28"/>
        </w:rPr>
      </w:pPr>
      <w:r>
        <w:rPr>
          <w:rFonts w:hint="default" w:ascii="Times New Roman" w:hAnsi="Times New Roman" w:eastAsia="Segoe UI" w:cs="Times New Roman"/>
          <w:i w:val="0"/>
          <w:iCs w:val="0"/>
          <w:caps w:val="0"/>
          <w:color w:val="000000"/>
          <w:spacing w:val="0"/>
          <w:sz w:val="28"/>
          <w:szCs w:val="28"/>
          <w:shd w:val="clear" w:fill="F9FAFB"/>
        </w:rPr>
        <w:t>Глава V. Технические требования -</w:t>
      </w:r>
      <w:r>
        <w:rPr>
          <w:rFonts w:hint="default" w:ascii="Times New Roman" w:hAnsi="Times New Roman" w:eastAsia="Segoe UI" w:cs="Times New Roman"/>
          <w:i w:val="0"/>
          <w:iCs w:val="0"/>
          <w:caps w:val="0"/>
          <w:color w:val="000000"/>
          <w:spacing w:val="0"/>
          <w:sz w:val="28"/>
          <w:szCs w:val="28"/>
          <w:shd w:val="clear" w:fill="F9FAFB"/>
          <w:lang w:val="ru-RU"/>
        </w:rPr>
        <w:t>-------------</w:t>
      </w:r>
      <w:r>
        <w:rPr>
          <w:rFonts w:hint="default" w:ascii="Times New Roman" w:hAnsi="Times New Roman" w:eastAsia="Segoe UI" w:cs="Times New Roman"/>
          <w:i w:val="0"/>
          <w:iCs w:val="0"/>
          <w:caps w:val="0"/>
          <w:color w:val="000000"/>
          <w:spacing w:val="0"/>
          <w:sz w:val="28"/>
          <w:szCs w:val="28"/>
          <w:shd w:val="clear" w:fill="F9FAFB"/>
        </w:rPr>
        <w:t xml:space="preserve"> 40</w:t>
      </w:r>
    </w:p>
    <w:p w14:paraId="1C12D987">
      <w:pPr>
        <w:keepNext w:val="0"/>
        <w:keepLines w:val="0"/>
        <w:widowControl/>
        <w:numPr>
          <w:ilvl w:val="0"/>
          <w:numId w:val="3"/>
        </w:numPr>
        <w:suppressLineNumbers w:val="0"/>
        <w:pBdr>
          <w:left w:val="none" w:color="auto" w:sz="0" w:space="0"/>
        </w:pBdr>
        <w:spacing w:before="0" w:beforeAutospacing="1" w:after="0" w:afterAutospacing="1"/>
        <w:ind w:left="720" w:hanging="360"/>
        <w:rPr>
          <w:rFonts w:hint="default" w:ascii="Times New Roman" w:hAnsi="Times New Roman" w:cs="Times New Roman"/>
          <w:sz w:val="28"/>
          <w:szCs w:val="28"/>
        </w:rPr>
      </w:pPr>
      <w:r>
        <w:rPr>
          <w:rFonts w:hint="default" w:ascii="Times New Roman" w:hAnsi="Times New Roman" w:eastAsia="Segoe UI" w:cs="Times New Roman"/>
          <w:i w:val="0"/>
          <w:iCs w:val="0"/>
          <w:caps w:val="0"/>
          <w:color w:val="000000"/>
          <w:spacing w:val="0"/>
          <w:sz w:val="28"/>
          <w:szCs w:val="28"/>
          <w:shd w:val="clear" w:fill="F9FAFB"/>
        </w:rPr>
        <w:t>Глава VI. Формат документа</w:t>
      </w:r>
      <w:r>
        <w:rPr>
          <w:rFonts w:hint="default" w:ascii="Times New Roman" w:hAnsi="Times New Roman" w:eastAsia="Segoe UI" w:cs="Times New Roman"/>
          <w:i w:val="0"/>
          <w:iCs w:val="0"/>
          <w:caps w:val="0"/>
          <w:color w:val="000000"/>
          <w:spacing w:val="0"/>
          <w:sz w:val="28"/>
          <w:szCs w:val="28"/>
          <w:shd w:val="clear" w:fill="F9FAFB"/>
          <w:lang w:val="ru-RU"/>
        </w:rPr>
        <w:t xml:space="preserve"> отклика----</w:t>
      </w:r>
      <w:r>
        <w:rPr>
          <w:rFonts w:hint="default" w:ascii="Times New Roman" w:hAnsi="Times New Roman" w:eastAsia="Segoe UI" w:cs="Times New Roman"/>
          <w:i w:val="0"/>
          <w:iCs w:val="0"/>
          <w:caps w:val="0"/>
          <w:color w:val="000000"/>
          <w:spacing w:val="0"/>
          <w:sz w:val="28"/>
          <w:szCs w:val="28"/>
          <w:shd w:val="clear" w:fill="F9FAFB"/>
        </w:rPr>
        <w:t>-</w:t>
      </w:r>
      <w:r>
        <w:rPr>
          <w:rFonts w:hint="default" w:ascii="Times New Roman" w:hAnsi="Times New Roman" w:eastAsia="Segoe UI" w:cs="Times New Roman"/>
          <w:i w:val="0"/>
          <w:iCs w:val="0"/>
          <w:caps w:val="0"/>
          <w:color w:val="000000"/>
          <w:spacing w:val="0"/>
          <w:sz w:val="28"/>
          <w:szCs w:val="28"/>
          <w:shd w:val="clear" w:fill="F9FAFB"/>
          <w:lang w:val="ru-RU"/>
        </w:rPr>
        <w:t>------</w:t>
      </w:r>
      <w:r>
        <w:rPr>
          <w:rFonts w:hint="default" w:ascii="Times New Roman" w:hAnsi="Times New Roman" w:eastAsia="Segoe UI" w:cs="Times New Roman"/>
          <w:i w:val="0"/>
          <w:iCs w:val="0"/>
          <w:caps w:val="0"/>
          <w:color w:val="000000"/>
          <w:spacing w:val="0"/>
          <w:sz w:val="28"/>
          <w:szCs w:val="28"/>
          <w:shd w:val="clear" w:fill="F9FAFB"/>
        </w:rPr>
        <w:t xml:space="preserve"> 41</w:t>
      </w:r>
    </w:p>
    <w:p w14:paraId="6AC42DAA">
      <w:pPr>
        <w:pStyle w:val="3"/>
        <w:rPr>
          <w:rFonts w:hint="default" w:asciiTheme="minorHAnsi" w:hAnsiTheme="minorHAnsi"/>
          <w:lang w:val="ru-RU"/>
        </w:rPr>
        <w:sectPr>
          <w:headerReference r:id="rId5" w:type="default"/>
          <w:footerReference r:id="rId7" w:type="default"/>
          <w:headerReference r:id="rId6" w:type="even"/>
          <w:footerReference r:id="rId8" w:type="even"/>
          <w:pgSz w:w="11906" w:h="16838"/>
          <w:pgMar w:top="1440" w:right="1800" w:bottom="1440" w:left="1800" w:header="851" w:footer="992" w:gutter="0"/>
          <w:cols w:space="720" w:num="1"/>
          <w:docGrid w:type="lines" w:linePitch="312" w:charSpace="0"/>
        </w:sectPr>
      </w:pPr>
    </w:p>
    <w:p w14:paraId="70F4907F">
      <w:pPr>
        <w:pStyle w:val="33"/>
        <w:spacing w:line="560" w:lineRule="exact"/>
        <w:ind w:left="200" w:firstLine="0"/>
        <w:jc w:val="center"/>
        <w:outlineLvl w:val="0"/>
        <w:rPr>
          <w:rFonts w:hint="eastAsia" w:ascii="方正小标宋简体" w:hAnsi="黑体" w:eastAsia="方正小标宋简体"/>
          <w:sz w:val="44"/>
          <w:szCs w:val="44"/>
        </w:rPr>
      </w:pPr>
      <w:bookmarkStart w:id="0" w:name="_Toc11916"/>
      <w:bookmarkStart w:id="1" w:name="_Toc122531871"/>
      <w:bookmarkStart w:id="2" w:name="_Toc10865"/>
      <w:bookmarkStart w:id="3" w:name="_Toc16357_WPSOffice_Level1"/>
      <w:r>
        <w:rPr>
          <w:rFonts w:hint="eastAsia" w:ascii="方正小标宋简体" w:hAnsi="黑体" w:eastAsia="方正小标宋简体"/>
          <w:sz w:val="44"/>
          <w:szCs w:val="44"/>
        </w:rPr>
        <w:t>采购公告</w:t>
      </w:r>
      <w:bookmarkEnd w:id="0"/>
    </w:p>
    <w:p w14:paraId="78B7F8A4">
      <w:pPr>
        <w:pStyle w:val="33"/>
        <w:spacing w:line="560" w:lineRule="exact"/>
        <w:ind w:left="200" w:firstLine="0"/>
        <w:jc w:val="center"/>
        <w:outlineLvl w:val="0"/>
        <w:rPr>
          <w:rFonts w:hint="eastAsia" w:ascii="方正小标宋简体" w:hAnsi="黑体" w:eastAsia="方正小标宋简体"/>
          <w:sz w:val="44"/>
          <w:szCs w:val="44"/>
        </w:rPr>
      </w:pPr>
      <w:r>
        <w:rPr>
          <w:b/>
          <w:bCs/>
          <w:sz w:val="24"/>
          <w:szCs w:val="24"/>
        </w:rPr>
        <w:t>Объявление о закупке</w:t>
      </w:r>
    </w:p>
    <w:p w14:paraId="6F1452AE">
      <w:pPr>
        <w:numPr>
          <w:ilvl w:val="0"/>
          <w:numId w:val="4"/>
        </w:numPr>
        <w:spacing w:line="440" w:lineRule="exact"/>
        <w:ind w:firstLine="560" w:firstLineChars="200"/>
        <w:outlineLvl w:val="2"/>
        <w:rPr>
          <w:sz w:val="24"/>
          <w:szCs w:val="24"/>
        </w:rPr>
      </w:pPr>
      <w:bookmarkStart w:id="4" w:name="_Toc122531861"/>
      <w:r>
        <w:rPr>
          <w:rFonts w:hint="eastAsia" w:ascii="黑体" w:hAnsi="黑体" w:eastAsia="黑体" w:cs="黑体"/>
          <w:bCs/>
          <w:sz w:val="28"/>
          <w:szCs w:val="28"/>
        </w:rPr>
        <w:t>采购单位</w:t>
      </w:r>
      <w:bookmarkEnd w:id="4"/>
      <w:r>
        <w:rPr>
          <w:rFonts w:hint="eastAsia" w:ascii="黑体" w:hAnsi="黑体" w:eastAsia="黑体" w:cs="黑体"/>
          <w:bCs/>
          <w:sz w:val="28"/>
          <w:szCs w:val="28"/>
        </w:rPr>
        <w:t>：</w:t>
      </w:r>
      <w:r>
        <w:rPr>
          <w:rFonts w:hint="eastAsia"/>
          <w:sz w:val="24"/>
          <w:szCs w:val="24"/>
          <w:lang w:val="en-US" w:eastAsia="zh-CN"/>
        </w:rPr>
        <w:t>中国华电科工集团有限公司哈萨克斯坦分公司</w:t>
      </w:r>
      <w:r>
        <w:rPr>
          <w:rFonts w:hint="eastAsia"/>
          <w:sz w:val="24"/>
          <w:szCs w:val="24"/>
        </w:rPr>
        <w:t>。</w:t>
      </w:r>
    </w:p>
    <w:p w14:paraId="42B55FA8">
      <w:pPr>
        <w:spacing w:before="156" w:beforeLines="50" w:after="156" w:afterLines="50" w:line="360" w:lineRule="auto"/>
        <w:ind w:firstLine="482" w:firstLineChars="200"/>
        <w:jc w:val="left"/>
        <w:rPr>
          <w:rFonts w:hint="default" w:ascii="Times New Roman" w:hAnsi="Times New Roman" w:eastAsia="仿宋" w:cs="Times New Roman"/>
          <w:b/>
          <w:color w:val="000000" w:themeColor="text1"/>
          <w:sz w:val="24"/>
          <w:szCs w:val="24"/>
          <w:lang w:eastAsia="zh-CN"/>
          <w14:textFill>
            <w14:solidFill>
              <w14:schemeClr w14:val="tx1"/>
            </w14:solidFill>
          </w14:textFill>
        </w:rPr>
      </w:pPr>
      <w:r>
        <w:rPr>
          <w:b/>
          <w:bCs/>
          <w:sz w:val="24"/>
          <w:szCs w:val="24"/>
          <w:lang w:val="ru-RU"/>
        </w:rPr>
        <w:t xml:space="preserve">Заказчик: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Казахстанский филиал Корпорации</w:t>
      </w:r>
      <w:r>
        <w:rPr>
          <w:rFonts w:hint="eastAsia" w:ascii="Times New Roman" w:hAnsi="Times New Roman" w:eastAsia="宋体" w:cs="Times New Roman"/>
          <w:i w:val="0"/>
          <w:iCs w:val="0"/>
          <w:caps w:val="0"/>
          <w:color w:val="000000" w:themeColor="text1"/>
          <w:spacing w:val="0"/>
          <w:sz w:val="24"/>
          <w:szCs w:val="24"/>
          <w:shd w:val="clear" w:fill="FFFFFF"/>
          <w:lang w:val="en-US" w:eastAsia="zh-CN"/>
          <w14:textFill>
            <w14:solidFill>
              <w14:schemeClr w14:val="tx1"/>
            </w14:solidFill>
          </w14:textFill>
        </w:rPr>
        <w:t xml:space="preserve">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«China Huadian Engineering Co., Ltd.»</w:t>
      </w:r>
    </w:p>
    <w:p w14:paraId="76103614">
      <w:pPr>
        <w:numPr>
          <w:ilvl w:val="-1"/>
          <w:numId w:val="0"/>
        </w:numPr>
        <w:spacing w:line="440" w:lineRule="exact"/>
        <w:ind w:left="482" w:firstLine="0" w:firstLineChars="0"/>
        <w:outlineLvl w:val="2"/>
        <w:rPr>
          <w:sz w:val="24"/>
          <w:szCs w:val="24"/>
          <w:lang w:val="ru-RU"/>
        </w:rPr>
      </w:pPr>
      <w:r>
        <w:rPr>
          <w:rFonts w:hint="eastAsia" w:ascii="黑体" w:hAnsi="黑体" w:eastAsia="黑体" w:cs="黑体"/>
          <w:bCs/>
          <w:sz w:val="28"/>
          <w:szCs w:val="28"/>
        </w:rPr>
        <w:t>采购项目：</w:t>
      </w:r>
      <w:r>
        <w:rPr>
          <w:rFonts w:hint="eastAsia"/>
          <w:sz w:val="24"/>
          <w:szCs w:val="24"/>
        </w:rPr>
        <w:t>哈萨克斯坦阿克套燃机项目</w:t>
      </w:r>
      <w:r>
        <w:rPr>
          <w:rFonts w:hint="eastAsia"/>
          <w:sz w:val="24"/>
          <w:szCs w:val="24"/>
          <w:lang w:val="en-US" w:eastAsia="zh-CN"/>
        </w:rPr>
        <w:t>会计代理服务</w:t>
      </w:r>
    </w:p>
    <w:p w14:paraId="7272FD96">
      <w:pPr>
        <w:spacing w:line="440" w:lineRule="exact"/>
        <w:ind w:firstLine="560" w:firstLineChars="200"/>
        <w:jc w:val="left"/>
        <w:outlineLvl w:val="2"/>
        <w:rPr>
          <w:rFonts w:hint="eastAsia" w:eastAsia="黑体"/>
          <w:bCs/>
          <w:sz w:val="28"/>
          <w:szCs w:val="28"/>
          <w:lang w:val="ru-RU"/>
        </w:rPr>
      </w:pPr>
      <w:bookmarkStart w:id="5" w:name="_Toc122531862"/>
      <w:r>
        <w:rPr>
          <w:rFonts w:eastAsia="黑体"/>
          <w:bCs/>
          <w:sz w:val="28"/>
          <w:szCs w:val="28"/>
          <w:lang w:val="ru-RU"/>
        </w:rPr>
        <w:t xml:space="preserve">Проект закупки: </w:t>
      </w:r>
      <w:r>
        <w:rPr>
          <w:rFonts w:hint="eastAsia" w:eastAsia="黑体"/>
          <w:b/>
          <w:lang w:val="en-US" w:eastAsia="zh-CN"/>
        </w:rPr>
        <w:t>Y</w:t>
      </w:r>
      <w:r>
        <w:rPr>
          <w:b w:val="0"/>
          <w:sz w:val="24"/>
          <w:szCs w:val="24"/>
          <w:lang w:val="ru-RU"/>
        </w:rPr>
        <w:t>слуг по ведению бухгалтерского учета</w:t>
      </w:r>
      <w:r>
        <w:rPr>
          <w:sz w:val="24"/>
          <w:szCs w:val="24"/>
          <w:lang w:val="ru-RU"/>
        </w:rPr>
        <w:t xml:space="preserve"> строительства газотурбинной установки в Актау</w:t>
      </w:r>
    </w:p>
    <w:p w14:paraId="051298F6">
      <w:pPr>
        <w:spacing w:line="440" w:lineRule="exact"/>
        <w:ind w:firstLine="560" w:firstLineChars="200"/>
        <w:jc w:val="left"/>
        <w:outlineLvl w:val="2"/>
        <w:rPr>
          <w:rFonts w:hint="default"/>
          <w:sz w:val="24"/>
          <w:szCs w:val="24"/>
        </w:rPr>
      </w:pPr>
      <w:r>
        <w:rPr>
          <w:rFonts w:hint="eastAsia" w:ascii="黑体" w:hAnsi="黑体" w:eastAsia="黑体" w:cs="黑体"/>
          <w:bCs/>
          <w:sz w:val="28"/>
          <w:szCs w:val="28"/>
        </w:rPr>
        <w:t>三、</w:t>
      </w:r>
      <w:bookmarkEnd w:id="5"/>
      <w:r>
        <w:rPr>
          <w:rFonts w:hint="eastAsia" w:ascii="黑体" w:hAnsi="黑体" w:eastAsia="黑体" w:cs="黑体"/>
          <w:bCs/>
          <w:sz w:val="28"/>
          <w:szCs w:val="28"/>
        </w:rPr>
        <w:t>采购范围：</w:t>
      </w:r>
      <w:r>
        <w:rPr>
          <w:rFonts w:hint="eastAsia"/>
          <w:sz w:val="24"/>
          <w:szCs w:val="24"/>
        </w:rPr>
        <w:t>根据采购方</w:t>
      </w:r>
      <w:r>
        <w:rPr>
          <w:rFonts w:hint="default"/>
          <w:sz w:val="24"/>
          <w:szCs w:val="24"/>
          <w:lang w:val="en-US"/>
        </w:rPr>
        <w:t>现状</w:t>
      </w:r>
      <w:r>
        <w:rPr>
          <w:rFonts w:hint="eastAsia"/>
          <w:sz w:val="24"/>
          <w:szCs w:val="24"/>
        </w:rPr>
        <w:t>，</w:t>
      </w:r>
      <w:r>
        <w:rPr>
          <w:rFonts w:hint="eastAsia"/>
          <w:sz w:val="24"/>
          <w:szCs w:val="24"/>
          <w:lang w:val="en-US" w:eastAsia="zh-CN"/>
        </w:rPr>
        <w:t>供应商按照</w:t>
      </w:r>
      <w:r>
        <w:rPr>
          <w:rFonts w:hint="eastAsia"/>
          <w:sz w:val="24"/>
          <w:szCs w:val="24"/>
          <w:lang w:eastAsia="zh-CN"/>
        </w:rPr>
        <w:t>哈萨克斯坦共和国法律进行会计和税务核算</w:t>
      </w:r>
      <w:r>
        <w:rPr>
          <w:rFonts w:hint="eastAsia"/>
          <w:sz w:val="24"/>
          <w:szCs w:val="24"/>
        </w:rPr>
        <w:t>。</w:t>
      </w:r>
      <w:r>
        <w:rPr>
          <w:rFonts w:hint="eastAsia" w:ascii="Times New Roman" w:hAnsi="Times New Roman" w:cs="Times New Roman"/>
          <w:sz w:val="24"/>
          <w:szCs w:val="24"/>
          <w:lang w:val="en-US" w:eastAsia="zh-CN"/>
        </w:rPr>
        <w:t>详细见第五章，技术规范书。</w:t>
      </w:r>
    </w:p>
    <w:p w14:paraId="1D20B8C6">
      <w:pPr>
        <w:jc w:val="left"/>
        <w:rPr>
          <w:rFonts w:hint="eastAsia" w:eastAsia="宋体"/>
          <w:lang w:eastAsia="zh-CN"/>
        </w:rPr>
      </w:pPr>
      <w:r>
        <w:rPr>
          <w:b/>
          <w:bCs/>
          <w:sz w:val="24"/>
          <w:szCs w:val="24"/>
          <w:lang w:val="ru-RU"/>
        </w:rPr>
        <w:tab/>
      </w:r>
      <w:r>
        <w:rPr>
          <w:b/>
          <w:bCs/>
          <w:sz w:val="24"/>
          <w:szCs w:val="24"/>
          <w:lang w:val="ru-RU"/>
        </w:rPr>
        <w:t xml:space="preserve">     Объем закупки:</w:t>
      </w:r>
      <w:r>
        <w:rPr>
          <w:sz w:val="24"/>
          <w:szCs w:val="24"/>
          <w:lang w:val="ru-RU"/>
        </w:rPr>
        <w:t xml:space="preserve"> В соответствии с текущим состоянием заказчика, </w:t>
      </w:r>
      <w:r>
        <w:rPr>
          <w:sz w:val="24"/>
          <w:szCs w:val="24"/>
        </w:rPr>
        <w:t>За ведение бухгалтерского и налогового учета по надлежаще предоставленным к учету документам Заказчика, в соответствие с законодательством РК</w:t>
      </w:r>
      <w:r>
        <w:rPr>
          <w:rFonts w:hint="eastAsia"/>
          <w:sz w:val="24"/>
          <w:szCs w:val="24"/>
          <w:lang w:eastAsia="zh-CN"/>
        </w:rPr>
        <w:t>。</w:t>
      </w:r>
      <w:r>
        <w:rPr>
          <w:rFonts w:hint="default"/>
          <w:sz w:val="24"/>
          <w:szCs w:val="24"/>
          <w:lang w:eastAsia="zh-CN"/>
        </w:rPr>
        <w:t>Подробно</w:t>
      </w:r>
      <w:r>
        <w:rPr>
          <w:rFonts w:hint="eastAsia" w:ascii="Times New Roman" w:hAnsi="Times New Roman" w:cs="Times New Roman"/>
          <w:sz w:val="24"/>
          <w:szCs w:val="24"/>
          <w:lang w:val="en-US" w:eastAsia="zh-CN"/>
        </w:rPr>
        <w:t xml:space="preserve"> </w:t>
      </w:r>
      <w:r>
        <w:rPr>
          <w:rStyle w:val="23"/>
          <w:lang w:val="ru-RU"/>
        </w:rPr>
        <w:t>Глава 5. Технические требования</w:t>
      </w:r>
      <w:r>
        <w:rPr>
          <w:rStyle w:val="23"/>
          <w:rFonts w:hint="eastAsia"/>
          <w:lang w:val="ru-RU" w:eastAsia="zh-CN"/>
        </w:rPr>
        <w:t>。</w:t>
      </w:r>
    </w:p>
    <w:p w14:paraId="4DA2DDA6">
      <w:pPr>
        <w:pStyle w:val="13"/>
        <w:ind w:firstLineChars="200"/>
        <w:jc w:val="left"/>
        <w:outlineLvl w:val="2"/>
        <w:rPr>
          <w:rFonts w:hint="default" w:eastAsia="宋体"/>
          <w:sz w:val="24"/>
          <w:szCs w:val="24"/>
          <w:lang w:val="en-US" w:eastAsia="zh-CN"/>
        </w:rPr>
      </w:pPr>
      <w:bookmarkStart w:id="6" w:name="_Toc122531863"/>
      <w:r>
        <w:rPr>
          <w:rFonts w:hint="eastAsia" w:ascii="黑体" w:hAnsi="黑体" w:eastAsia="黑体" w:cs="黑体"/>
          <w:bCs/>
          <w:sz w:val="28"/>
          <w:szCs w:val="28"/>
        </w:rPr>
        <w:t>四</w:t>
      </w:r>
      <w:r>
        <w:rPr>
          <w:rFonts w:ascii="黑体" w:hAnsi="黑体" w:eastAsia="黑体" w:cs="黑体"/>
          <w:bCs/>
          <w:sz w:val="28"/>
          <w:szCs w:val="28"/>
        </w:rPr>
        <w:t>、采购</w:t>
      </w:r>
      <w:r>
        <w:rPr>
          <w:rFonts w:hint="eastAsia" w:ascii="黑体" w:hAnsi="黑体" w:eastAsia="黑体" w:cs="黑体"/>
          <w:bCs/>
          <w:sz w:val="28"/>
          <w:szCs w:val="28"/>
        </w:rPr>
        <w:t>方式：</w:t>
      </w:r>
      <w:r>
        <w:rPr>
          <w:rFonts w:hint="eastAsia"/>
          <w:sz w:val="24"/>
          <w:szCs w:val="24"/>
          <w:lang w:val="en-US" w:eastAsia="zh-CN"/>
        </w:rPr>
        <w:t>询比采购</w:t>
      </w:r>
    </w:p>
    <w:p w14:paraId="71076D10">
      <w:pPr>
        <w:spacing w:line="440" w:lineRule="exact"/>
        <w:ind w:firstLine="482" w:firstLineChars="200"/>
        <w:jc w:val="left"/>
        <w:outlineLvl w:val="2"/>
        <w:rPr>
          <w:sz w:val="24"/>
          <w:szCs w:val="24"/>
          <w:lang w:val="ru-RU"/>
        </w:rPr>
      </w:pPr>
      <w:r>
        <w:rPr>
          <w:b/>
          <w:bCs/>
          <w:sz w:val="24"/>
          <w:szCs w:val="24"/>
          <w:lang w:val="ru-RU"/>
        </w:rPr>
        <w:t>Способ</w:t>
      </w:r>
      <w:r>
        <w:rPr>
          <w:b/>
          <w:bCs/>
          <w:sz w:val="24"/>
          <w:szCs w:val="24"/>
        </w:rPr>
        <w:t xml:space="preserve"> </w:t>
      </w:r>
      <w:r>
        <w:rPr>
          <w:b/>
          <w:bCs/>
          <w:sz w:val="24"/>
          <w:szCs w:val="24"/>
          <w:lang w:val="ru-RU"/>
        </w:rPr>
        <w:t>закупки</w:t>
      </w:r>
      <w:r>
        <w:rPr>
          <w:b/>
          <w:bCs/>
          <w:sz w:val="24"/>
          <w:szCs w:val="24"/>
        </w:rPr>
        <w:t>:</w:t>
      </w:r>
      <w:r>
        <w:rPr>
          <w:sz w:val="24"/>
          <w:szCs w:val="24"/>
        </w:rPr>
        <w:t xml:space="preserve"> </w:t>
      </w:r>
      <w:r>
        <w:rPr>
          <w:rFonts w:hint="default" w:ascii="Times New Roman" w:hAnsi="Times New Roman" w:eastAsia="宋体" w:cs="Times New Roman"/>
          <w:sz w:val="24"/>
          <w:szCs w:val="24"/>
          <w:lang w:val="ru-RU" w:eastAsia="zh-CN"/>
        </w:rPr>
        <w:t>Запрос, сравнение цен и покупка</w:t>
      </w:r>
      <w:r>
        <w:rPr>
          <w:rFonts w:hint="eastAsia" w:ascii="Times New Roman" w:hAnsi="Times New Roman" w:eastAsia="宋体" w:cs="Times New Roman"/>
          <w:sz w:val="24"/>
          <w:szCs w:val="24"/>
          <w:lang w:val="ru-RU" w:eastAsia="zh-CN"/>
        </w:rPr>
        <w:t>。</w:t>
      </w:r>
    </w:p>
    <w:p w14:paraId="5DE3CFD8">
      <w:pPr>
        <w:spacing w:line="440" w:lineRule="exact"/>
        <w:ind w:firstLine="560" w:firstLineChars="200"/>
        <w:jc w:val="left"/>
        <w:outlineLvl w:val="2"/>
        <w:rPr>
          <w:sz w:val="24"/>
          <w:szCs w:val="24"/>
        </w:rPr>
      </w:pPr>
      <w:r>
        <w:rPr>
          <w:rFonts w:hint="eastAsia" w:ascii="黑体" w:hAnsi="黑体" w:eastAsia="黑体" w:cs="黑体"/>
          <w:bCs/>
          <w:sz w:val="28"/>
          <w:szCs w:val="28"/>
        </w:rPr>
        <w:t>五、服务期限及地点：</w:t>
      </w:r>
      <w:r>
        <w:rPr>
          <w:rFonts w:hint="eastAsia"/>
          <w:sz w:val="24"/>
          <w:szCs w:val="24"/>
        </w:rPr>
        <w:t>从合同签订之日起，暂定</w:t>
      </w:r>
      <w:r>
        <w:rPr>
          <w:rFonts w:hint="eastAsia"/>
          <w:sz w:val="24"/>
          <w:szCs w:val="24"/>
          <w:lang w:val="en-US" w:eastAsia="zh-CN"/>
        </w:rPr>
        <w:t>24</w:t>
      </w:r>
      <w:r>
        <w:rPr>
          <w:rFonts w:hint="eastAsia"/>
          <w:sz w:val="24"/>
          <w:szCs w:val="24"/>
        </w:rPr>
        <w:t>个月。</w:t>
      </w:r>
    </w:p>
    <w:p w14:paraId="2822F9D5">
      <w:pPr>
        <w:spacing w:line="440" w:lineRule="exact"/>
        <w:ind w:firstLine="482" w:firstLineChars="200"/>
        <w:jc w:val="left"/>
        <w:outlineLvl w:val="2"/>
        <w:rPr>
          <w:sz w:val="24"/>
          <w:szCs w:val="24"/>
        </w:rPr>
      </w:pPr>
      <w:r>
        <w:rPr>
          <w:b/>
          <w:bCs/>
          <w:sz w:val="24"/>
          <w:szCs w:val="24"/>
          <w:lang w:val="ru-RU"/>
        </w:rPr>
        <w:t>Срок</w:t>
      </w:r>
      <w:r>
        <w:rPr>
          <w:b/>
          <w:bCs/>
          <w:sz w:val="24"/>
          <w:szCs w:val="24"/>
        </w:rPr>
        <w:t xml:space="preserve"> </w:t>
      </w:r>
      <w:r>
        <w:rPr>
          <w:b/>
          <w:bCs/>
          <w:sz w:val="24"/>
          <w:szCs w:val="24"/>
          <w:lang w:val="ru-RU"/>
        </w:rPr>
        <w:t>обслуживания</w:t>
      </w:r>
      <w:r>
        <w:rPr>
          <w:b/>
          <w:bCs/>
          <w:sz w:val="24"/>
          <w:szCs w:val="24"/>
        </w:rPr>
        <w:t>:</w:t>
      </w:r>
      <w:r>
        <w:rPr>
          <w:sz w:val="24"/>
          <w:szCs w:val="24"/>
        </w:rPr>
        <w:t xml:space="preserve"> </w:t>
      </w:r>
      <w:r>
        <w:rPr>
          <w:sz w:val="24"/>
          <w:szCs w:val="24"/>
          <w:lang w:val="ru-RU"/>
        </w:rPr>
        <w:t>С</w:t>
      </w:r>
      <w:r>
        <w:rPr>
          <w:sz w:val="24"/>
          <w:szCs w:val="24"/>
        </w:rPr>
        <w:t xml:space="preserve"> </w:t>
      </w:r>
      <w:r>
        <w:rPr>
          <w:sz w:val="24"/>
          <w:szCs w:val="24"/>
          <w:lang w:val="ru-RU"/>
        </w:rPr>
        <w:t>момента</w:t>
      </w:r>
      <w:r>
        <w:rPr>
          <w:sz w:val="24"/>
          <w:szCs w:val="24"/>
        </w:rPr>
        <w:t xml:space="preserve"> </w:t>
      </w:r>
      <w:r>
        <w:rPr>
          <w:sz w:val="24"/>
          <w:szCs w:val="24"/>
          <w:lang w:val="ru-RU"/>
        </w:rPr>
        <w:t>подписания</w:t>
      </w:r>
      <w:r>
        <w:rPr>
          <w:sz w:val="24"/>
          <w:szCs w:val="24"/>
        </w:rPr>
        <w:t xml:space="preserve"> </w:t>
      </w:r>
      <w:r>
        <w:rPr>
          <w:sz w:val="24"/>
          <w:szCs w:val="24"/>
          <w:lang w:val="ru-RU"/>
        </w:rPr>
        <w:t>контракта</w:t>
      </w:r>
      <w:r>
        <w:rPr>
          <w:sz w:val="24"/>
          <w:szCs w:val="24"/>
        </w:rPr>
        <w:t xml:space="preserve"> </w:t>
      </w:r>
      <w:r>
        <w:rPr>
          <w:sz w:val="24"/>
          <w:szCs w:val="24"/>
          <w:lang w:val="ru-RU"/>
        </w:rPr>
        <w:t>ориентировочно</w:t>
      </w:r>
      <w:r>
        <w:rPr>
          <w:sz w:val="24"/>
          <w:szCs w:val="24"/>
        </w:rPr>
        <w:t xml:space="preserve"> </w:t>
      </w:r>
      <w:r>
        <w:rPr>
          <w:rFonts w:hint="eastAsia"/>
          <w:sz w:val="24"/>
          <w:szCs w:val="24"/>
          <w:lang w:val="en-US" w:eastAsia="zh-CN"/>
        </w:rPr>
        <w:t>24</w:t>
      </w:r>
      <w:r>
        <w:rPr>
          <w:sz w:val="24"/>
          <w:szCs w:val="24"/>
          <w:lang w:val="ru-RU"/>
        </w:rPr>
        <w:t>месяцев</w:t>
      </w:r>
      <w:r>
        <w:rPr>
          <w:sz w:val="24"/>
          <w:szCs w:val="24"/>
        </w:rPr>
        <w:t>.</w:t>
      </w:r>
    </w:p>
    <w:p w14:paraId="68704948">
      <w:pPr>
        <w:spacing w:line="440" w:lineRule="exact"/>
        <w:ind w:firstLine="560" w:firstLineChars="200"/>
        <w:jc w:val="left"/>
        <w:outlineLvl w:val="2"/>
        <w:rPr>
          <w:rFonts w:hint="eastAsia" w:ascii="黑体" w:hAnsi="黑体" w:eastAsia="黑体" w:cs="黑体"/>
          <w:bCs/>
          <w:sz w:val="28"/>
          <w:szCs w:val="28"/>
        </w:rPr>
      </w:pPr>
      <w:r>
        <w:rPr>
          <w:rFonts w:hint="eastAsia" w:ascii="黑体" w:hAnsi="黑体" w:eastAsia="黑体" w:cs="黑体"/>
          <w:bCs/>
          <w:sz w:val="28"/>
          <w:szCs w:val="28"/>
        </w:rPr>
        <w:t>六、供应商资格要求（资格</w:t>
      </w:r>
      <w:r>
        <w:rPr>
          <w:rFonts w:ascii="黑体" w:hAnsi="黑体" w:eastAsia="黑体" w:cs="黑体"/>
          <w:bCs/>
          <w:sz w:val="28"/>
          <w:szCs w:val="28"/>
        </w:rPr>
        <w:t>后审</w:t>
      </w:r>
      <w:r>
        <w:rPr>
          <w:rFonts w:hint="eastAsia" w:ascii="黑体" w:hAnsi="黑体" w:eastAsia="黑体" w:cs="黑体"/>
          <w:bCs/>
          <w:sz w:val="28"/>
          <w:szCs w:val="28"/>
        </w:rPr>
        <w:t>）</w:t>
      </w:r>
    </w:p>
    <w:p w14:paraId="7968AD22">
      <w:pPr>
        <w:pStyle w:val="19"/>
        <w:adjustRightInd w:val="0"/>
        <w:snapToGrid w:val="0"/>
        <w:spacing w:line="360" w:lineRule="auto"/>
        <w:ind w:firstLine="480"/>
        <w:rPr>
          <w:rFonts w:hint="default" w:ascii="Times New Roman" w:hAnsi="Times New Roman"/>
          <w:sz w:val="24"/>
          <w:szCs w:val="24"/>
        </w:rPr>
      </w:pPr>
      <w:r>
        <w:rPr>
          <w:rFonts w:ascii="Times New Roman" w:hAnsi="Times New Roman"/>
          <w:sz w:val="24"/>
          <w:szCs w:val="24"/>
        </w:rPr>
        <w:t>6.1 供应商具有哈萨克斯坦共和国政府颁发的法人登记证明。</w:t>
      </w:r>
    </w:p>
    <w:p w14:paraId="6B1FA0EC">
      <w:pPr>
        <w:pStyle w:val="12"/>
        <w:rPr>
          <w:sz w:val="24"/>
          <w:szCs w:val="24"/>
          <w:lang w:val="ru-RU"/>
        </w:rPr>
      </w:pPr>
      <w:r>
        <w:rPr>
          <w:sz w:val="24"/>
          <w:szCs w:val="24"/>
          <w:lang w:val="ru-RU"/>
        </w:rPr>
        <w:t>Поставщик должен быть легально зарегистрированным юридическим лицом или индивидуальным предпринимателем на территории Казахстана.</w:t>
      </w:r>
    </w:p>
    <w:p w14:paraId="31A4EDED">
      <w:pPr>
        <w:pStyle w:val="19"/>
        <w:adjustRightInd w:val="0"/>
        <w:snapToGrid w:val="0"/>
        <w:spacing w:line="360" w:lineRule="auto"/>
        <w:ind w:firstLine="480"/>
        <w:rPr>
          <w:rFonts w:hint="default" w:ascii="Times New Roman" w:hAnsi="Times New Roman"/>
          <w:sz w:val="24"/>
          <w:szCs w:val="24"/>
        </w:rPr>
      </w:pPr>
      <w:r>
        <w:rPr>
          <w:rFonts w:ascii="Times New Roman" w:hAnsi="Times New Roman"/>
          <w:sz w:val="24"/>
          <w:szCs w:val="24"/>
        </w:rPr>
        <w:t>6.2 供应商未被列入哈萨克斯坦信用黑名单、金融黑名单、司法黑名单、税务黑名单等影响本项目执行的情况。</w:t>
      </w:r>
    </w:p>
    <w:p w14:paraId="2D1C96FF">
      <w:pPr>
        <w:pStyle w:val="12"/>
        <w:rPr>
          <w:sz w:val="24"/>
          <w:szCs w:val="24"/>
          <w:lang w:val="ru-RU"/>
        </w:rPr>
      </w:pPr>
      <w:r>
        <w:rPr>
          <w:sz w:val="24"/>
          <w:szCs w:val="24"/>
          <w:lang w:val="ru-RU"/>
        </w:rPr>
        <w:t>Поставщик не должен быть включен в черные списки кредитных, финансовых, судебных или налоговых организаций Казахстана, что может повлиять на выполнение данного проекта.</w:t>
      </w:r>
    </w:p>
    <w:p w14:paraId="4282FE2C">
      <w:pPr>
        <w:pStyle w:val="13"/>
        <w:rPr>
          <w:sz w:val="24"/>
          <w:szCs w:val="24"/>
        </w:rPr>
      </w:pPr>
      <w:r>
        <w:rPr>
          <w:sz w:val="28"/>
          <w:szCs w:val="28"/>
        </w:rPr>
        <w:tab/>
      </w:r>
      <w:r>
        <w:rPr>
          <w:sz w:val="24"/>
          <w:szCs w:val="24"/>
        </w:rPr>
        <w:t xml:space="preserve">    6.3 供应商与采购人存在利害关系可能影响采购公正性的法人、其他组织或者个人，不得参加响应。单位负责人为同一人或者存在控股、管理关系的不同单位，不得参加同一标段响应或者未划分标段的同一采购项目响应。</w:t>
      </w:r>
    </w:p>
    <w:p w14:paraId="0E3F87F0">
      <w:pPr>
        <w:pStyle w:val="13"/>
        <w:rPr>
          <w:rFonts w:eastAsia="Times New Roman"/>
          <w:kern w:val="0"/>
          <w:sz w:val="24"/>
          <w:szCs w:val="24"/>
          <w:lang w:val="ru-RU"/>
        </w:rPr>
      </w:pPr>
      <w:r>
        <w:rPr>
          <w:rFonts w:eastAsia="Times New Roman"/>
          <w:kern w:val="0"/>
          <w:sz w:val="24"/>
          <w:szCs w:val="24"/>
          <w:lang w:val="ru-RU"/>
        </w:rPr>
        <w:t xml:space="preserve">      Поставщики и заказчики, имеющие заинтересованность, которая может повлиять на объективность закупки, такие как юридические лица, другие организации или физические лица, не могут участвовать в подаче заявок. Организации, где руководитель является одним и тем же человеком или существуют связи по контролю и управлению между различными организациями, не могут подавать заявки на один и тот же лот или на один и тот же проект закупки, если лоты не разделены.</w:t>
      </w:r>
    </w:p>
    <w:p w14:paraId="61AA0C89">
      <w:pPr>
        <w:pStyle w:val="19"/>
        <w:adjustRightInd w:val="0"/>
        <w:snapToGrid w:val="0"/>
        <w:spacing w:line="360" w:lineRule="auto"/>
        <w:ind w:firstLine="480"/>
        <w:rPr>
          <w:rFonts w:ascii="Times New Roman" w:hAnsi="Times New Roman"/>
          <w:sz w:val="24"/>
          <w:szCs w:val="24"/>
        </w:rPr>
      </w:pPr>
      <w:r>
        <w:rPr>
          <w:rFonts w:ascii="Times New Roman" w:hAnsi="Times New Roman"/>
          <w:sz w:val="24"/>
          <w:szCs w:val="24"/>
        </w:rPr>
        <w:t>6.4</w:t>
      </w:r>
      <w:r>
        <w:rPr>
          <w:rFonts w:ascii="Times New Roman" w:hAnsi="Times New Roman"/>
          <w:sz w:val="24"/>
          <w:szCs w:val="24"/>
          <w:lang w:val="ru-RU"/>
        </w:rPr>
        <w:t xml:space="preserve"> </w:t>
      </w:r>
      <w:r>
        <w:rPr>
          <w:rFonts w:ascii="Times New Roman" w:hAnsi="Times New Roman"/>
          <w:sz w:val="24"/>
          <w:szCs w:val="24"/>
        </w:rPr>
        <w:t>本项目不接受联合体响应。</w:t>
      </w:r>
    </w:p>
    <w:p w14:paraId="494BE990">
      <w:pPr>
        <w:pStyle w:val="19"/>
        <w:adjustRightInd w:val="0"/>
        <w:snapToGrid w:val="0"/>
        <w:spacing w:line="360" w:lineRule="auto"/>
        <w:ind w:firstLine="480"/>
        <w:rPr>
          <w:rFonts w:hint="default" w:ascii="Times New Roman" w:hAnsi="Times New Roman"/>
          <w:sz w:val="24"/>
          <w:szCs w:val="24"/>
          <w:lang w:val="ru-RU"/>
        </w:rPr>
      </w:pPr>
      <w:r>
        <w:rPr>
          <w:rFonts w:hint="default" w:ascii="Times New Roman" w:hAnsi="Times New Roman"/>
          <w:sz w:val="24"/>
          <w:szCs w:val="24"/>
          <w:lang w:val="ru-RU"/>
        </w:rPr>
        <w:t>Этот проект не принимает совместные ответы.</w:t>
      </w:r>
    </w:p>
    <w:p w14:paraId="20B8C6B6">
      <w:pPr>
        <w:spacing w:line="440" w:lineRule="exact"/>
        <w:ind w:firstLine="560" w:firstLineChars="200"/>
        <w:jc w:val="left"/>
        <w:outlineLvl w:val="2"/>
        <w:rPr>
          <w:rFonts w:hint="eastAsia" w:ascii="黑体" w:hAnsi="黑体" w:eastAsia="黑体" w:cs="黑体"/>
          <w:bCs/>
          <w:sz w:val="28"/>
          <w:szCs w:val="28"/>
        </w:rPr>
      </w:pPr>
      <w:bookmarkStart w:id="7" w:name="_Toc5119"/>
      <w:bookmarkStart w:id="8" w:name="_Toc25071"/>
      <w:bookmarkStart w:id="9" w:name="_Toc182814113"/>
      <w:bookmarkStart w:id="10" w:name="_Toc23078"/>
      <w:r>
        <w:rPr>
          <w:rFonts w:hint="eastAsia" w:ascii="黑体" w:hAnsi="黑体" w:eastAsia="黑体" w:cs="黑体"/>
          <w:bCs/>
          <w:sz w:val="28"/>
          <w:szCs w:val="28"/>
        </w:rPr>
        <w:t>七、采购文件的获取</w:t>
      </w:r>
      <w:bookmarkEnd w:id="7"/>
      <w:bookmarkEnd w:id="8"/>
      <w:bookmarkEnd w:id="9"/>
      <w:bookmarkEnd w:id="10"/>
    </w:p>
    <w:p w14:paraId="0E4A47CA">
      <w:pPr>
        <w:pStyle w:val="19"/>
        <w:ind w:firstLine="480"/>
        <w:rPr>
          <w:rFonts w:hint="default" w:ascii="Times New Roman" w:hAnsi="Times New Roman"/>
          <w:sz w:val="24"/>
          <w:szCs w:val="24"/>
        </w:rPr>
      </w:pPr>
      <w:r>
        <w:rPr>
          <w:rFonts w:ascii="Times New Roman" w:hAnsi="Times New Roman"/>
          <w:sz w:val="24"/>
          <w:szCs w:val="24"/>
        </w:rPr>
        <w:t>7.1 公告时间：从2025年</w:t>
      </w:r>
      <w:r>
        <w:rPr>
          <w:rFonts w:hint="eastAsia" w:ascii="Times New Roman" w:hAnsi="Times New Roman"/>
          <w:sz w:val="24"/>
          <w:szCs w:val="24"/>
          <w:lang w:val="en-US" w:eastAsia="zh-CN"/>
        </w:rPr>
        <w:t>10</w:t>
      </w:r>
      <w:r>
        <w:rPr>
          <w:rFonts w:ascii="Times New Roman" w:hAnsi="Times New Roman"/>
          <w:sz w:val="24"/>
          <w:szCs w:val="24"/>
        </w:rPr>
        <w:t>月</w:t>
      </w:r>
      <w:r>
        <w:rPr>
          <w:rFonts w:hint="eastAsia" w:ascii="Times New Roman" w:hAnsi="Times New Roman"/>
          <w:sz w:val="24"/>
          <w:szCs w:val="24"/>
          <w:lang w:val="en-US" w:eastAsia="zh-CN"/>
        </w:rPr>
        <w:t>10</w:t>
      </w:r>
      <w:r>
        <w:rPr>
          <w:rFonts w:ascii="Times New Roman" w:hAnsi="Times New Roman"/>
          <w:sz w:val="24"/>
          <w:szCs w:val="24"/>
        </w:rPr>
        <w:t>日9:00起至2025年</w:t>
      </w:r>
      <w:r>
        <w:rPr>
          <w:rFonts w:hint="eastAsia" w:ascii="Times New Roman" w:hAnsi="Times New Roman"/>
          <w:sz w:val="24"/>
          <w:szCs w:val="24"/>
          <w:lang w:val="en-US" w:eastAsia="zh-CN"/>
        </w:rPr>
        <w:t>10</w:t>
      </w:r>
      <w:r>
        <w:rPr>
          <w:rFonts w:ascii="Times New Roman" w:hAnsi="Times New Roman"/>
          <w:sz w:val="24"/>
          <w:szCs w:val="24"/>
        </w:rPr>
        <w:t>月</w:t>
      </w:r>
      <w:r>
        <w:rPr>
          <w:rFonts w:hint="eastAsia" w:ascii="Times New Roman" w:hAnsi="Times New Roman"/>
          <w:sz w:val="24"/>
          <w:szCs w:val="24"/>
          <w:lang w:val="en-US" w:eastAsia="zh-CN"/>
        </w:rPr>
        <w:t>13</w:t>
      </w:r>
      <w:r>
        <w:rPr>
          <w:rFonts w:ascii="Times New Roman" w:hAnsi="Times New Roman"/>
          <w:sz w:val="24"/>
          <w:szCs w:val="24"/>
        </w:rPr>
        <w:t>日17:00止。</w:t>
      </w:r>
    </w:p>
    <w:p w14:paraId="3D0052D5">
      <w:pPr>
        <w:pStyle w:val="19"/>
        <w:ind w:firstLine="482"/>
        <w:rPr>
          <w:rFonts w:hint="default" w:ascii="Times New Roman" w:hAnsi="Times New Roman"/>
          <w:sz w:val="24"/>
          <w:szCs w:val="24"/>
          <w:lang w:val="ru-RU"/>
        </w:rPr>
      </w:pPr>
      <w:r>
        <w:rPr>
          <w:rFonts w:hint="default" w:ascii="Times New Roman" w:hAnsi="Times New Roman"/>
          <w:b/>
          <w:bCs/>
          <w:sz w:val="24"/>
          <w:szCs w:val="24"/>
          <w:lang w:val="ru-RU"/>
        </w:rPr>
        <w:t xml:space="preserve">Время публикации: </w:t>
      </w:r>
      <w:r>
        <w:rPr>
          <w:rFonts w:hint="default" w:ascii="Times New Roman" w:hAnsi="Times New Roman"/>
          <w:sz w:val="24"/>
          <w:szCs w:val="24"/>
          <w:lang w:val="ru-RU"/>
        </w:rPr>
        <w:t xml:space="preserve">с 9:00 </w:t>
      </w:r>
      <w:r>
        <w:rPr>
          <w:rFonts w:hint="eastAsia" w:ascii="Times New Roman" w:hAnsi="Times New Roman"/>
          <w:sz w:val="24"/>
          <w:szCs w:val="24"/>
          <w:lang w:val="en-US" w:eastAsia="zh-CN"/>
        </w:rPr>
        <w:t xml:space="preserve"> 10</w:t>
      </w:r>
      <w:r>
        <w:rPr>
          <w:rFonts w:hint="default" w:ascii="Times New Roman" w:hAnsi="Times New Roman"/>
          <w:sz w:val="24"/>
          <w:szCs w:val="24"/>
          <w:lang w:val="ru-RU"/>
        </w:rPr>
        <w:t xml:space="preserve"> </w:t>
      </w:r>
      <w:r>
        <w:rPr>
          <w:rFonts w:hint="eastAsia" w:ascii="Times New Roman" w:hAnsi="Times New Roman"/>
          <w:sz w:val="24"/>
          <w:szCs w:val="24"/>
          <w:lang w:val="en-US" w:eastAsia="zh-CN"/>
        </w:rPr>
        <w:t xml:space="preserve"> </w:t>
      </w:r>
      <w:r>
        <w:rPr>
          <w:rFonts w:hint="default" w:ascii="Times New Roman" w:hAnsi="Times New Roman"/>
          <w:sz w:val="24"/>
          <w:szCs w:val="24"/>
          <w:lang w:val="ru-RU"/>
        </w:rPr>
        <w:t xml:space="preserve">октябрь 2025 года до 17:00 </w:t>
      </w:r>
      <w:r>
        <w:rPr>
          <w:rFonts w:hint="eastAsia" w:ascii="Times New Roman" w:hAnsi="Times New Roman"/>
          <w:sz w:val="24"/>
          <w:szCs w:val="24"/>
          <w:lang w:val="en-US" w:eastAsia="zh-CN"/>
        </w:rPr>
        <w:t xml:space="preserve">13 </w:t>
      </w:r>
      <w:r>
        <w:rPr>
          <w:rFonts w:hint="default" w:ascii="Times New Roman" w:hAnsi="Times New Roman"/>
          <w:sz w:val="24"/>
          <w:szCs w:val="24"/>
          <w:lang w:val="ru-RU"/>
        </w:rPr>
        <w:t>октябрь 2025 года.</w:t>
      </w:r>
    </w:p>
    <w:p w14:paraId="07973803">
      <w:pPr>
        <w:pStyle w:val="19"/>
        <w:ind w:firstLine="480"/>
        <w:rPr>
          <w:rFonts w:hint="default" w:ascii="Times New Roman" w:hAnsi="Times New Roman"/>
          <w:sz w:val="24"/>
          <w:szCs w:val="24"/>
        </w:rPr>
      </w:pPr>
      <w:r>
        <w:rPr>
          <w:rFonts w:ascii="Times New Roman" w:hAnsi="Times New Roman"/>
          <w:sz w:val="24"/>
          <w:szCs w:val="24"/>
        </w:rPr>
        <w:t xml:space="preserve">7.2 </w:t>
      </w:r>
      <w:r>
        <w:rPr>
          <w:rFonts w:hint="eastAsia" w:ascii="Times New Roman" w:hAnsi="Times New Roman"/>
          <w:sz w:val="24"/>
          <w:szCs w:val="24"/>
          <w:lang w:val="en-US" w:eastAsia="zh-CN"/>
        </w:rPr>
        <w:t>获取</w:t>
      </w:r>
      <w:r>
        <w:rPr>
          <w:rFonts w:ascii="Times New Roman" w:hAnsi="Times New Roman"/>
          <w:sz w:val="24"/>
          <w:szCs w:val="24"/>
        </w:rPr>
        <w:t>采购文件时间：从2025年</w:t>
      </w:r>
      <w:r>
        <w:rPr>
          <w:rFonts w:hint="eastAsia" w:ascii="Times New Roman" w:hAnsi="Times New Roman"/>
          <w:sz w:val="24"/>
          <w:szCs w:val="24"/>
          <w:lang w:val="en-US" w:eastAsia="zh-CN"/>
        </w:rPr>
        <w:t>10</w:t>
      </w:r>
      <w:r>
        <w:rPr>
          <w:rFonts w:ascii="Times New Roman" w:hAnsi="Times New Roman"/>
          <w:sz w:val="24"/>
          <w:szCs w:val="24"/>
        </w:rPr>
        <w:t>月</w:t>
      </w:r>
      <w:r>
        <w:rPr>
          <w:rFonts w:hint="eastAsia" w:ascii="Times New Roman" w:hAnsi="Times New Roman"/>
          <w:sz w:val="24"/>
          <w:szCs w:val="24"/>
          <w:lang w:val="en-US" w:eastAsia="zh-CN"/>
        </w:rPr>
        <w:t>10</w:t>
      </w:r>
      <w:r>
        <w:rPr>
          <w:rFonts w:ascii="Times New Roman" w:hAnsi="Times New Roman"/>
          <w:sz w:val="24"/>
          <w:szCs w:val="24"/>
        </w:rPr>
        <w:t>日9:00起至2025年</w:t>
      </w:r>
      <w:r>
        <w:rPr>
          <w:rFonts w:hint="eastAsia" w:ascii="Times New Roman" w:hAnsi="Times New Roman"/>
          <w:sz w:val="24"/>
          <w:szCs w:val="24"/>
          <w:lang w:val="en-US" w:eastAsia="zh-CN"/>
        </w:rPr>
        <w:t>10</w:t>
      </w:r>
      <w:r>
        <w:rPr>
          <w:rFonts w:ascii="Times New Roman" w:hAnsi="Times New Roman"/>
          <w:sz w:val="24"/>
          <w:szCs w:val="24"/>
        </w:rPr>
        <w:t>月</w:t>
      </w:r>
      <w:r>
        <w:rPr>
          <w:rFonts w:hint="eastAsia" w:ascii="Times New Roman" w:hAnsi="Times New Roman"/>
          <w:sz w:val="24"/>
          <w:szCs w:val="24"/>
          <w:lang w:val="en-US" w:eastAsia="zh-CN"/>
        </w:rPr>
        <w:t>13</w:t>
      </w:r>
      <w:r>
        <w:rPr>
          <w:rFonts w:ascii="Times New Roman" w:hAnsi="Times New Roman"/>
          <w:sz w:val="24"/>
          <w:szCs w:val="24"/>
        </w:rPr>
        <w:t>日17:00止。</w:t>
      </w:r>
    </w:p>
    <w:p w14:paraId="0D306BAE">
      <w:pPr>
        <w:pStyle w:val="19"/>
        <w:adjustRightInd w:val="0"/>
        <w:snapToGrid w:val="0"/>
        <w:spacing w:line="360" w:lineRule="auto"/>
        <w:ind w:firstLine="482"/>
        <w:rPr>
          <w:rFonts w:hint="default" w:ascii="Times New Roman" w:hAnsi="Times New Roman"/>
          <w:sz w:val="24"/>
          <w:szCs w:val="24"/>
          <w:lang w:val="ru-RU"/>
        </w:rPr>
      </w:pPr>
      <w:r>
        <w:rPr>
          <w:rFonts w:hint="default" w:ascii="Times New Roman" w:hAnsi="Times New Roman"/>
          <w:b/>
          <w:bCs/>
          <w:sz w:val="24"/>
          <w:szCs w:val="24"/>
          <w:lang w:val="ru-RU"/>
        </w:rPr>
        <w:t>Время покупки закупочных документов:</w:t>
      </w:r>
      <w:r>
        <w:rPr>
          <w:rFonts w:hint="default" w:ascii="Times New Roman" w:hAnsi="Times New Roman"/>
          <w:sz w:val="24"/>
          <w:szCs w:val="24"/>
          <w:lang w:val="ru-RU"/>
        </w:rPr>
        <w:t xml:space="preserve"> с 9:00</w:t>
      </w:r>
      <w:r>
        <w:rPr>
          <w:rFonts w:hint="eastAsia" w:ascii="Times New Roman" w:hAnsi="Times New Roman"/>
          <w:sz w:val="24"/>
          <w:szCs w:val="24"/>
          <w:lang w:val="en-US" w:eastAsia="zh-CN"/>
        </w:rPr>
        <w:t xml:space="preserve"> 10</w:t>
      </w:r>
      <w:r>
        <w:rPr>
          <w:rFonts w:hint="default" w:ascii="Times New Roman" w:hAnsi="Times New Roman"/>
          <w:sz w:val="24"/>
          <w:szCs w:val="24"/>
          <w:lang w:val="ru-RU"/>
        </w:rPr>
        <w:t xml:space="preserve"> октябрь 2025 года до 17:00 </w:t>
      </w:r>
      <w:r>
        <w:rPr>
          <w:rFonts w:hint="eastAsia" w:ascii="Times New Roman" w:hAnsi="Times New Roman"/>
          <w:sz w:val="24"/>
          <w:szCs w:val="24"/>
          <w:lang w:val="en-US" w:eastAsia="zh-CN"/>
        </w:rPr>
        <w:t xml:space="preserve">13 </w:t>
      </w:r>
      <w:r>
        <w:rPr>
          <w:rFonts w:hint="default" w:ascii="Times New Roman" w:hAnsi="Times New Roman"/>
          <w:sz w:val="24"/>
          <w:szCs w:val="24"/>
          <w:lang w:val="ru-RU"/>
        </w:rPr>
        <w:t>октябрь 2025 года.</w:t>
      </w:r>
    </w:p>
    <w:p w14:paraId="101C7B52">
      <w:pPr>
        <w:pStyle w:val="19"/>
        <w:adjustRightInd w:val="0"/>
        <w:snapToGrid w:val="0"/>
        <w:spacing w:line="360" w:lineRule="auto"/>
        <w:ind w:firstLine="480"/>
        <w:rPr>
          <w:rFonts w:hint="default" w:ascii="Times New Roman" w:hAnsi="Times New Roman"/>
          <w:sz w:val="24"/>
          <w:szCs w:val="24"/>
        </w:rPr>
      </w:pPr>
      <w:r>
        <w:rPr>
          <w:rFonts w:ascii="Times New Roman" w:hAnsi="Times New Roman"/>
          <w:sz w:val="24"/>
          <w:szCs w:val="24"/>
        </w:rPr>
        <w:t>获取方式</w:t>
      </w:r>
      <w:r>
        <w:rPr>
          <w:rFonts w:ascii="Times New Roman" w:hAnsi="Times New Roman"/>
          <w:sz w:val="24"/>
          <w:szCs w:val="24"/>
          <w:lang w:val="ru-RU"/>
        </w:rPr>
        <w:t>：</w:t>
      </w:r>
      <w:r>
        <w:rPr>
          <w:rFonts w:ascii="Times New Roman" w:hAnsi="Times New Roman"/>
          <w:sz w:val="24"/>
          <w:szCs w:val="24"/>
        </w:rPr>
        <w:t>从</w:t>
      </w:r>
      <w:r>
        <w:rPr>
          <w:rFonts w:ascii="Times New Roman" w:hAnsi="Times New Roman"/>
          <w:sz w:val="24"/>
          <w:szCs w:val="24"/>
          <w:lang w:val="ru-RU"/>
        </w:rPr>
        <w:t>2025</w:t>
      </w:r>
      <w:r>
        <w:rPr>
          <w:rFonts w:ascii="Times New Roman" w:hAnsi="Times New Roman"/>
          <w:sz w:val="24"/>
          <w:szCs w:val="24"/>
        </w:rPr>
        <w:t>年</w:t>
      </w:r>
      <w:r>
        <w:rPr>
          <w:rFonts w:hint="eastAsia" w:ascii="Times New Roman" w:hAnsi="Times New Roman"/>
          <w:sz w:val="24"/>
          <w:szCs w:val="24"/>
          <w:lang w:val="en-US" w:eastAsia="zh-CN"/>
        </w:rPr>
        <w:t>10</w:t>
      </w:r>
      <w:r>
        <w:rPr>
          <w:rFonts w:ascii="Times New Roman" w:hAnsi="Times New Roman"/>
          <w:sz w:val="24"/>
          <w:szCs w:val="24"/>
        </w:rPr>
        <w:t>月</w:t>
      </w:r>
      <w:r>
        <w:rPr>
          <w:rFonts w:hint="eastAsia" w:ascii="Times New Roman" w:hAnsi="Times New Roman"/>
          <w:sz w:val="24"/>
          <w:szCs w:val="24"/>
          <w:lang w:val="en-US" w:eastAsia="zh-CN"/>
        </w:rPr>
        <w:t>10</w:t>
      </w:r>
      <w:r>
        <w:rPr>
          <w:rFonts w:ascii="Times New Roman" w:hAnsi="Times New Roman"/>
          <w:sz w:val="24"/>
          <w:szCs w:val="24"/>
        </w:rPr>
        <w:t>日</w:t>
      </w:r>
      <w:r>
        <w:rPr>
          <w:rFonts w:ascii="Times New Roman" w:hAnsi="Times New Roman"/>
          <w:sz w:val="24"/>
          <w:szCs w:val="24"/>
          <w:lang w:val="ru-RU"/>
        </w:rPr>
        <w:t>9:00</w:t>
      </w:r>
      <w:r>
        <w:rPr>
          <w:rFonts w:ascii="Times New Roman" w:hAnsi="Times New Roman"/>
          <w:sz w:val="24"/>
          <w:szCs w:val="24"/>
        </w:rPr>
        <w:t>起至</w:t>
      </w:r>
      <w:r>
        <w:rPr>
          <w:rFonts w:ascii="Times New Roman" w:hAnsi="Times New Roman"/>
          <w:sz w:val="24"/>
          <w:szCs w:val="24"/>
          <w:lang w:val="ru-RU"/>
        </w:rPr>
        <w:t>2025</w:t>
      </w:r>
      <w:r>
        <w:rPr>
          <w:rFonts w:ascii="Times New Roman" w:hAnsi="Times New Roman"/>
          <w:sz w:val="24"/>
          <w:szCs w:val="24"/>
        </w:rPr>
        <w:t>年</w:t>
      </w:r>
      <w:r>
        <w:rPr>
          <w:rFonts w:hint="eastAsia" w:ascii="Times New Roman" w:hAnsi="Times New Roman"/>
          <w:sz w:val="24"/>
          <w:szCs w:val="24"/>
          <w:lang w:val="en-US" w:eastAsia="zh-CN"/>
        </w:rPr>
        <w:t>10</w:t>
      </w:r>
      <w:r>
        <w:rPr>
          <w:rFonts w:ascii="Times New Roman" w:hAnsi="Times New Roman"/>
          <w:sz w:val="24"/>
          <w:szCs w:val="24"/>
        </w:rPr>
        <w:t>月</w:t>
      </w:r>
      <w:r>
        <w:rPr>
          <w:rFonts w:hint="eastAsia" w:ascii="Times New Roman" w:hAnsi="Times New Roman"/>
          <w:sz w:val="24"/>
          <w:szCs w:val="24"/>
          <w:lang w:val="en-US" w:eastAsia="zh-CN"/>
        </w:rPr>
        <w:t>13</w:t>
      </w:r>
      <w:r>
        <w:rPr>
          <w:rFonts w:ascii="Times New Roman" w:hAnsi="Times New Roman"/>
          <w:sz w:val="24"/>
          <w:szCs w:val="24"/>
        </w:rPr>
        <w:t>日</w:t>
      </w:r>
      <w:r>
        <w:rPr>
          <w:rFonts w:ascii="Times New Roman" w:hAnsi="Times New Roman"/>
          <w:sz w:val="24"/>
          <w:szCs w:val="24"/>
          <w:lang w:val="ru-RU"/>
        </w:rPr>
        <w:t>17:00（</w:t>
      </w:r>
      <w:r>
        <w:rPr>
          <w:rFonts w:ascii="Times New Roman" w:hAnsi="Times New Roman"/>
          <w:sz w:val="24"/>
          <w:szCs w:val="24"/>
        </w:rPr>
        <w:t>法定公休日、法定节假日除外</w:t>
      </w:r>
      <w:r>
        <w:rPr>
          <w:rFonts w:ascii="Times New Roman" w:hAnsi="Times New Roman"/>
          <w:sz w:val="24"/>
          <w:szCs w:val="24"/>
          <w:lang w:val="ru-RU"/>
        </w:rPr>
        <w:t>），</w:t>
      </w:r>
      <w:r>
        <w:rPr>
          <w:rFonts w:ascii="Times New Roman" w:hAnsi="Times New Roman"/>
          <w:sz w:val="24"/>
          <w:szCs w:val="24"/>
        </w:rPr>
        <w:t>每日</w:t>
      </w:r>
      <w:r>
        <w:rPr>
          <w:rFonts w:ascii="Times New Roman" w:hAnsi="Times New Roman"/>
          <w:sz w:val="24"/>
          <w:szCs w:val="24"/>
          <w:lang w:val="ru-RU"/>
        </w:rPr>
        <w:t>9:00</w:t>
      </w:r>
      <w:r>
        <w:rPr>
          <w:rFonts w:ascii="Times New Roman" w:hAnsi="Times New Roman"/>
          <w:sz w:val="24"/>
          <w:szCs w:val="24"/>
        </w:rPr>
        <w:t>至</w:t>
      </w:r>
      <w:r>
        <w:rPr>
          <w:rFonts w:ascii="Times New Roman" w:hAnsi="Times New Roman"/>
          <w:sz w:val="24"/>
          <w:szCs w:val="24"/>
          <w:lang w:val="ru-RU"/>
        </w:rPr>
        <w:t>17:00</w:t>
      </w:r>
      <w:r>
        <w:rPr>
          <w:rFonts w:ascii="Times New Roman" w:hAnsi="Times New Roman"/>
          <w:sz w:val="24"/>
          <w:szCs w:val="24"/>
        </w:rPr>
        <w:t>时</w:t>
      </w:r>
      <w:r>
        <w:rPr>
          <w:rFonts w:ascii="Times New Roman" w:hAnsi="Times New Roman"/>
          <w:sz w:val="24"/>
          <w:szCs w:val="24"/>
          <w:lang w:val="ru-RU"/>
        </w:rPr>
        <w:t>，</w:t>
      </w:r>
      <w:r>
        <w:rPr>
          <w:rFonts w:ascii="Times New Roman" w:hAnsi="Times New Roman"/>
          <w:sz w:val="24"/>
          <w:szCs w:val="24"/>
        </w:rPr>
        <w:t>将法定代表人授权书、被授权人身份证、确认参与报价函等扫描件</w:t>
      </w:r>
      <w:r>
        <w:rPr>
          <w:rFonts w:ascii="Times New Roman" w:hAnsi="Times New Roman"/>
          <w:sz w:val="24"/>
          <w:szCs w:val="24"/>
          <w:lang w:val="ru-RU"/>
        </w:rPr>
        <w:t>（</w:t>
      </w:r>
      <w:r>
        <w:rPr>
          <w:rFonts w:ascii="Times New Roman" w:hAnsi="Times New Roman"/>
          <w:sz w:val="24"/>
          <w:szCs w:val="24"/>
        </w:rPr>
        <w:t>盖单位公章</w:t>
      </w:r>
      <w:r>
        <w:rPr>
          <w:rFonts w:ascii="Times New Roman" w:hAnsi="Times New Roman"/>
          <w:sz w:val="24"/>
          <w:szCs w:val="24"/>
          <w:lang w:val="ru-RU"/>
        </w:rPr>
        <w:t>）</w:t>
      </w:r>
      <w:r>
        <w:rPr>
          <w:rFonts w:ascii="Times New Roman" w:hAnsi="Times New Roman"/>
          <w:sz w:val="24"/>
          <w:szCs w:val="24"/>
        </w:rPr>
        <w:t>发送至</w:t>
      </w:r>
      <w:r>
        <w:rPr>
          <w:rFonts w:hint="eastAsia" w:ascii="Times New Roman" w:hAnsi="Times New Roman"/>
          <w:sz w:val="24"/>
          <w:szCs w:val="24"/>
          <w:lang w:val="en-US" w:eastAsia="zh-CN"/>
        </w:rPr>
        <w:t>zhangxw</w:t>
      </w:r>
      <w:r>
        <w:rPr>
          <w:rFonts w:ascii="Times New Roman" w:hAnsi="Times New Roman"/>
          <w:sz w:val="24"/>
          <w:szCs w:val="24"/>
          <w:lang w:val="ru-RU"/>
        </w:rPr>
        <w:t>@</w:t>
      </w:r>
      <w:r>
        <w:rPr>
          <w:rFonts w:hint="eastAsia" w:ascii="Times New Roman" w:hAnsi="Times New Roman"/>
          <w:sz w:val="24"/>
          <w:szCs w:val="24"/>
          <w:lang w:val="en-US" w:eastAsia="zh-CN"/>
        </w:rPr>
        <w:t>chec.com.cn</w:t>
      </w:r>
      <w:r>
        <w:rPr>
          <w:rFonts w:ascii="Times New Roman" w:hAnsi="Times New Roman"/>
          <w:sz w:val="24"/>
          <w:szCs w:val="24"/>
        </w:rPr>
        <w:t>。采购人确认无误后，发送采购文件至供应商确认参与报价函指定联系邮箱。</w:t>
      </w:r>
    </w:p>
    <w:p w14:paraId="0135B0BA">
      <w:pPr>
        <w:spacing w:line="440" w:lineRule="exact"/>
        <w:ind w:firstLine="482" w:firstLineChars="200"/>
        <w:jc w:val="left"/>
        <w:outlineLvl w:val="2"/>
        <w:rPr>
          <w:rFonts w:hint="eastAsia" w:ascii="黑体" w:hAnsi="黑体" w:eastAsia="黑体" w:cs="黑体"/>
          <w:bCs/>
          <w:sz w:val="28"/>
          <w:szCs w:val="28"/>
          <w:lang w:val="ru-RU"/>
        </w:rPr>
      </w:pPr>
      <w:r>
        <w:rPr>
          <w:b/>
          <w:bCs/>
          <w:sz w:val="24"/>
          <w:szCs w:val="24"/>
          <w:lang w:val="ru-RU"/>
        </w:rPr>
        <w:t xml:space="preserve">Как получить: </w:t>
      </w:r>
      <w:r>
        <w:rPr>
          <w:sz w:val="24"/>
          <w:szCs w:val="24"/>
          <w:lang w:val="ru-RU"/>
        </w:rPr>
        <w:t xml:space="preserve">с 9:00 </w:t>
      </w:r>
      <w:r>
        <w:rPr>
          <w:rFonts w:hint="eastAsia"/>
          <w:sz w:val="24"/>
          <w:szCs w:val="24"/>
          <w:lang w:val="en-US" w:eastAsia="zh-CN"/>
        </w:rPr>
        <w:t xml:space="preserve">10 </w:t>
      </w:r>
      <w:r>
        <w:rPr>
          <w:sz w:val="24"/>
          <w:szCs w:val="24"/>
          <w:lang w:val="ru-RU"/>
        </w:rPr>
        <w:t xml:space="preserve"> </w:t>
      </w:r>
      <w:r>
        <w:rPr>
          <w:rFonts w:hint="default" w:ascii="Times New Roman" w:hAnsi="Times New Roman" w:eastAsia="宋体" w:cs="Times New Roman"/>
          <w:sz w:val="24"/>
          <w:szCs w:val="24"/>
          <w:lang w:val="ru-RU" w:eastAsia="zh-CN"/>
        </w:rPr>
        <w:t>октябрь</w:t>
      </w:r>
      <w:r>
        <w:rPr>
          <w:rFonts w:hint="default" w:ascii="Times New Roman" w:hAnsi="Times New Roman" w:eastAsia="Segoe UI" w:cs="Times New Roman"/>
          <w:b w:val="0"/>
          <w:bCs w:val="0"/>
          <w:i w:val="0"/>
          <w:iCs w:val="0"/>
          <w:caps w:val="0"/>
          <w:color w:val="000000"/>
          <w:spacing w:val="0"/>
          <w:sz w:val="24"/>
          <w:szCs w:val="24"/>
          <w:shd w:val="clear" w:color="auto" w:fill="F9FAFB"/>
          <w:lang w:val="en-US" w:eastAsia="zh-CN"/>
        </w:rPr>
        <w:t xml:space="preserve"> </w:t>
      </w:r>
      <w:r>
        <w:rPr>
          <w:sz w:val="24"/>
          <w:szCs w:val="24"/>
          <w:lang w:val="ru-RU"/>
        </w:rPr>
        <w:t xml:space="preserve">2025 года до 17:00 </w:t>
      </w:r>
      <w:r>
        <w:rPr>
          <w:rFonts w:hint="eastAsia"/>
          <w:sz w:val="24"/>
          <w:szCs w:val="24"/>
          <w:lang w:val="en-US" w:eastAsia="zh-CN"/>
        </w:rPr>
        <w:t>13</w:t>
      </w:r>
      <w:r>
        <w:rPr>
          <w:sz w:val="24"/>
          <w:szCs w:val="24"/>
          <w:lang w:val="ru-RU"/>
        </w:rPr>
        <w:t xml:space="preserve"> </w:t>
      </w:r>
      <w:r>
        <w:rPr>
          <w:rFonts w:hint="default" w:ascii="Times New Roman" w:hAnsi="Times New Roman" w:eastAsia="宋体" w:cs="Times New Roman"/>
          <w:sz w:val="24"/>
          <w:szCs w:val="24"/>
          <w:lang w:val="ru-RU" w:eastAsia="zh-CN"/>
        </w:rPr>
        <w:t>октябрь</w:t>
      </w:r>
      <w:r>
        <w:rPr>
          <w:sz w:val="24"/>
          <w:szCs w:val="24"/>
          <w:lang w:val="ru-RU"/>
        </w:rPr>
        <w:t xml:space="preserve"> 2025 года (кроме государственных выходных и праздников), ежедневно с 9:00 до 17:00, отправить отсканированные копии следующих документов на электронную почту: </w:t>
      </w:r>
      <w:r>
        <w:rPr>
          <w:rFonts w:hint="eastAsia" w:ascii="Times New Roman" w:hAnsi="Times New Roman"/>
          <w:sz w:val="24"/>
          <w:szCs w:val="24"/>
          <w:lang w:val="en-US" w:eastAsia="zh-CN"/>
        </w:rPr>
        <w:t>zhangxw</w:t>
      </w:r>
      <w:r>
        <w:rPr>
          <w:rFonts w:ascii="Times New Roman" w:hAnsi="Times New Roman"/>
          <w:sz w:val="24"/>
          <w:szCs w:val="24"/>
          <w:lang w:val="ru-RU"/>
        </w:rPr>
        <w:t>@</w:t>
      </w:r>
      <w:r>
        <w:rPr>
          <w:rFonts w:hint="eastAsia" w:ascii="Times New Roman" w:hAnsi="Times New Roman"/>
          <w:sz w:val="24"/>
          <w:szCs w:val="24"/>
          <w:lang w:val="en-US" w:eastAsia="zh-CN"/>
        </w:rPr>
        <w:t>chec.com.cn</w:t>
      </w:r>
      <w:r>
        <w:rPr>
          <w:sz w:val="24"/>
          <w:szCs w:val="24"/>
          <w:lang w:val="ru-RU"/>
        </w:rPr>
        <w:t>: доверенность на законного представителя, удостоверение личности уполномоченного лица, подтверждение об оплате стоимости тендера, подтверждение участия в тендере (с подписью и печатью организации). После подтверждения правильности документов заказчиком, закупочные документы будут отправлены на указанный электронный адрес участника.</w:t>
      </w:r>
    </w:p>
    <w:bookmarkEnd w:id="6"/>
    <w:p w14:paraId="1EEBF35B">
      <w:pPr>
        <w:spacing w:line="440" w:lineRule="exact"/>
        <w:ind w:firstLine="560" w:firstLineChars="200"/>
        <w:jc w:val="left"/>
        <w:outlineLvl w:val="2"/>
        <w:rPr>
          <w:rFonts w:hint="eastAsia" w:ascii="黑体" w:hAnsi="黑体" w:eastAsia="黑体" w:cs="黑体"/>
          <w:bCs/>
          <w:sz w:val="28"/>
          <w:szCs w:val="28"/>
          <w:lang w:val="ru-RU"/>
        </w:rPr>
      </w:pPr>
      <w:bookmarkStart w:id="11" w:name="_Toc122531868"/>
      <w:r>
        <w:rPr>
          <w:rFonts w:hint="eastAsia" w:ascii="黑体" w:hAnsi="黑体" w:eastAsia="黑体" w:cs="黑体"/>
          <w:bCs/>
          <w:sz w:val="28"/>
          <w:szCs w:val="28"/>
        </w:rPr>
        <w:t>八、响应文件的提交</w:t>
      </w:r>
      <w:bookmarkEnd w:id="11"/>
    </w:p>
    <w:p w14:paraId="4AF3F27B">
      <w:pPr>
        <w:pStyle w:val="19"/>
        <w:ind w:firstLine="480"/>
        <w:rPr>
          <w:rFonts w:hint="default" w:ascii="Times New Roman" w:hAnsi="Times New Roman"/>
          <w:sz w:val="24"/>
          <w:szCs w:val="24"/>
          <w:lang w:val="ru-RU"/>
        </w:rPr>
      </w:pPr>
      <w:r>
        <w:rPr>
          <w:rFonts w:hint="eastAsia" w:ascii="Times New Roman" w:hAnsi="Times New Roman"/>
          <w:sz w:val="24"/>
          <w:szCs w:val="24"/>
          <w:lang w:val="en-US" w:eastAsia="zh-CN"/>
        </w:rPr>
        <w:t>8</w:t>
      </w:r>
      <w:r>
        <w:rPr>
          <w:rFonts w:ascii="Times New Roman" w:hAnsi="Times New Roman"/>
          <w:sz w:val="24"/>
          <w:szCs w:val="24"/>
        </w:rPr>
        <w:t>.</w:t>
      </w:r>
      <w:r>
        <w:rPr>
          <w:rFonts w:ascii="Times New Roman" w:hAnsi="Times New Roman"/>
          <w:sz w:val="24"/>
          <w:szCs w:val="24"/>
          <w:lang w:val="ru-RU"/>
        </w:rPr>
        <w:t xml:space="preserve">1 </w:t>
      </w:r>
      <w:r>
        <w:rPr>
          <w:rFonts w:ascii="Times New Roman" w:hAnsi="Times New Roman"/>
          <w:sz w:val="24"/>
          <w:szCs w:val="24"/>
        </w:rPr>
        <w:t>响应文件提交截止时间</w:t>
      </w:r>
      <w:r>
        <w:rPr>
          <w:rFonts w:ascii="Times New Roman" w:hAnsi="Times New Roman"/>
          <w:sz w:val="24"/>
          <w:szCs w:val="24"/>
          <w:lang w:val="ru-RU"/>
        </w:rPr>
        <w:t>：2025</w:t>
      </w:r>
      <w:r>
        <w:rPr>
          <w:rFonts w:ascii="Times New Roman" w:hAnsi="Times New Roman"/>
          <w:sz w:val="24"/>
          <w:szCs w:val="24"/>
        </w:rPr>
        <w:t>年</w:t>
      </w:r>
      <w:r>
        <w:rPr>
          <w:rFonts w:hint="eastAsia" w:ascii="Times New Roman" w:hAnsi="Times New Roman"/>
          <w:sz w:val="24"/>
          <w:szCs w:val="24"/>
          <w:lang w:val="en-US" w:eastAsia="zh-CN"/>
        </w:rPr>
        <w:t>10</w:t>
      </w:r>
      <w:r>
        <w:rPr>
          <w:rFonts w:ascii="Times New Roman" w:hAnsi="Times New Roman"/>
          <w:sz w:val="24"/>
          <w:szCs w:val="24"/>
        </w:rPr>
        <w:t>月</w:t>
      </w:r>
      <w:r>
        <w:rPr>
          <w:rFonts w:hint="eastAsia" w:ascii="Times New Roman" w:hAnsi="Times New Roman"/>
          <w:sz w:val="24"/>
          <w:szCs w:val="24"/>
          <w:lang w:val="en-US" w:eastAsia="zh-CN"/>
        </w:rPr>
        <w:t>15</w:t>
      </w:r>
      <w:r>
        <w:rPr>
          <w:rFonts w:ascii="Times New Roman" w:hAnsi="Times New Roman"/>
          <w:sz w:val="24"/>
          <w:szCs w:val="24"/>
        </w:rPr>
        <w:t>日</w:t>
      </w:r>
      <w:r>
        <w:rPr>
          <w:rFonts w:ascii="Times New Roman" w:hAnsi="Times New Roman"/>
          <w:sz w:val="24"/>
          <w:szCs w:val="24"/>
          <w:lang w:val="ru-RU"/>
        </w:rPr>
        <w:t>18:00，</w:t>
      </w:r>
      <w:r>
        <w:rPr>
          <w:rFonts w:ascii="Times New Roman" w:hAnsi="Times New Roman"/>
          <w:sz w:val="24"/>
          <w:szCs w:val="24"/>
        </w:rPr>
        <w:t>逾期未收到的响应文件将不予受理。</w:t>
      </w:r>
    </w:p>
    <w:p w14:paraId="1A6F0DF7">
      <w:pPr>
        <w:pStyle w:val="12"/>
        <w:rPr>
          <w:sz w:val="24"/>
          <w:szCs w:val="24"/>
          <w:lang w:val="ru-RU"/>
        </w:rPr>
      </w:pPr>
      <w:r>
        <w:rPr>
          <w:b/>
          <w:bCs/>
          <w:sz w:val="24"/>
          <w:szCs w:val="24"/>
          <w:lang w:val="ru-RU"/>
        </w:rPr>
        <w:t xml:space="preserve">Крайний срок подачи откликов: </w:t>
      </w:r>
      <w:r>
        <w:rPr>
          <w:sz w:val="24"/>
          <w:szCs w:val="24"/>
          <w:lang w:val="ru-RU"/>
        </w:rPr>
        <w:t xml:space="preserve">18:00 </w:t>
      </w:r>
      <w:r>
        <w:rPr>
          <w:rFonts w:hint="eastAsia"/>
          <w:sz w:val="24"/>
          <w:szCs w:val="24"/>
          <w:lang w:val="en-US" w:eastAsia="zh-CN"/>
        </w:rPr>
        <w:t xml:space="preserve">15 </w:t>
      </w:r>
      <w:r>
        <w:rPr>
          <w:sz w:val="24"/>
          <w:szCs w:val="24"/>
          <w:lang w:val="ru-RU"/>
        </w:rPr>
        <w:t xml:space="preserve"> </w:t>
      </w:r>
      <w:r>
        <w:rPr>
          <w:rFonts w:hint="default" w:ascii="Times New Roman" w:hAnsi="Times New Roman" w:eastAsia="宋体" w:cs="Times New Roman"/>
          <w:sz w:val="24"/>
          <w:szCs w:val="24"/>
          <w:lang w:val="ru-RU" w:eastAsia="zh-CN"/>
        </w:rPr>
        <w:t>октябрь</w:t>
      </w:r>
      <w:r>
        <w:rPr>
          <w:rFonts w:ascii="Times New Roman" w:hAnsi="Times New Roman" w:eastAsia="宋体" w:cs="Times New Roman"/>
          <w:sz w:val="24"/>
          <w:szCs w:val="24"/>
          <w:lang w:val="ru-RU"/>
        </w:rPr>
        <w:t xml:space="preserve"> </w:t>
      </w:r>
      <w:r>
        <w:rPr>
          <w:sz w:val="24"/>
          <w:szCs w:val="24"/>
          <w:lang w:val="ru-RU"/>
        </w:rPr>
        <w:t>2025</w:t>
      </w:r>
      <w:r>
        <w:rPr>
          <w:rFonts w:hint="default" w:ascii="Times New Roman" w:hAnsi="Times New Roman" w:eastAsia="Segoe UI" w:cs="Times New Roman"/>
          <w:color w:val="000000"/>
          <w:sz w:val="24"/>
          <w:szCs w:val="24"/>
          <w:shd w:val="clear" w:color="auto" w:fill="F9FAFB"/>
          <w:lang w:val="en-US"/>
        </w:rPr>
        <w:t>октябрь</w:t>
      </w:r>
      <w:r>
        <w:rPr>
          <w:sz w:val="24"/>
          <w:szCs w:val="24"/>
          <w:lang w:val="ru-RU"/>
        </w:rPr>
        <w:t>. Отклики, поступившие позднее, не будут рассмотрены.</w:t>
      </w:r>
    </w:p>
    <w:p w14:paraId="40693171">
      <w:pPr>
        <w:pStyle w:val="19"/>
        <w:adjustRightInd w:val="0"/>
        <w:snapToGrid w:val="0"/>
        <w:spacing w:line="360" w:lineRule="auto"/>
        <w:ind w:firstLine="480"/>
        <w:rPr>
          <w:rFonts w:hint="default" w:ascii="Times New Roman" w:hAnsi="Times New Roman"/>
          <w:sz w:val="24"/>
          <w:szCs w:val="24"/>
          <w:lang w:val="ru-RU"/>
        </w:rPr>
      </w:pPr>
      <w:r>
        <w:rPr>
          <w:rFonts w:hint="eastAsia" w:ascii="Times New Roman" w:hAnsi="Times New Roman"/>
          <w:sz w:val="24"/>
          <w:szCs w:val="24"/>
          <w:lang w:val="en-US" w:eastAsia="zh-CN"/>
        </w:rPr>
        <w:t>8</w:t>
      </w:r>
      <w:r>
        <w:rPr>
          <w:rFonts w:ascii="Times New Roman" w:hAnsi="Times New Roman"/>
          <w:sz w:val="24"/>
          <w:szCs w:val="24"/>
          <w:lang w:val="ru-RU"/>
        </w:rPr>
        <w:t xml:space="preserve">.2. </w:t>
      </w:r>
      <w:r>
        <w:rPr>
          <w:rFonts w:ascii="Times New Roman" w:hAnsi="Times New Roman"/>
          <w:sz w:val="24"/>
          <w:szCs w:val="24"/>
        </w:rPr>
        <w:t>响应文件提交方式</w:t>
      </w:r>
      <w:r>
        <w:rPr>
          <w:rFonts w:ascii="Times New Roman" w:hAnsi="Times New Roman"/>
          <w:sz w:val="24"/>
          <w:szCs w:val="24"/>
          <w:lang w:val="ru-RU"/>
        </w:rPr>
        <w:t>：</w:t>
      </w:r>
      <w:r>
        <w:rPr>
          <w:rFonts w:ascii="Times New Roman" w:hAnsi="Times New Roman"/>
          <w:sz w:val="24"/>
          <w:szCs w:val="24"/>
        </w:rPr>
        <w:t>发送至采购人邮箱</w:t>
      </w:r>
      <w:r>
        <w:rPr>
          <w:rFonts w:hint="eastAsia" w:ascii="Times New Roman" w:hAnsi="Times New Roman"/>
          <w:sz w:val="24"/>
          <w:szCs w:val="24"/>
          <w:lang w:val="en-US" w:eastAsia="zh-CN"/>
        </w:rPr>
        <w:t>zhangxw</w:t>
      </w:r>
      <w:r>
        <w:rPr>
          <w:rFonts w:ascii="Times New Roman" w:hAnsi="Times New Roman"/>
          <w:sz w:val="24"/>
          <w:szCs w:val="24"/>
          <w:lang w:val="ru-RU"/>
        </w:rPr>
        <w:t>@</w:t>
      </w:r>
      <w:r>
        <w:rPr>
          <w:rFonts w:hint="eastAsia" w:ascii="Times New Roman" w:hAnsi="Times New Roman"/>
          <w:sz w:val="24"/>
          <w:szCs w:val="24"/>
          <w:lang w:val="en-US" w:eastAsia="zh-CN"/>
        </w:rPr>
        <w:t>chec.com.cn</w:t>
      </w:r>
      <w:r>
        <w:rPr>
          <w:rFonts w:ascii="Times New Roman" w:hAnsi="Times New Roman"/>
          <w:sz w:val="24"/>
          <w:szCs w:val="24"/>
        </w:rPr>
        <w:t>。</w:t>
      </w:r>
    </w:p>
    <w:p w14:paraId="17696324">
      <w:pPr>
        <w:pStyle w:val="19"/>
        <w:adjustRightInd w:val="0"/>
        <w:snapToGrid w:val="0"/>
        <w:spacing w:line="360" w:lineRule="auto"/>
        <w:ind w:firstLine="480"/>
        <w:rPr>
          <w:rFonts w:hint="default" w:ascii="Times New Roman" w:hAnsi="Times New Roman"/>
          <w:sz w:val="24"/>
          <w:szCs w:val="24"/>
          <w:lang w:val="ru-RU"/>
        </w:rPr>
      </w:pPr>
      <w:r>
        <w:rPr>
          <w:rFonts w:hint="default" w:ascii="Times New Roman" w:hAnsi="Times New Roman"/>
          <w:sz w:val="24"/>
          <w:szCs w:val="24"/>
          <w:lang w:val="ru-RU"/>
        </w:rPr>
        <w:t>Способ подачи откликов: отправить на электронную почту заказчика aktcgtb@163.com.</w:t>
      </w:r>
    </w:p>
    <w:p w14:paraId="6F70C03A">
      <w:pPr>
        <w:pStyle w:val="19"/>
        <w:adjustRightInd w:val="0"/>
        <w:snapToGrid w:val="0"/>
        <w:spacing w:line="360" w:lineRule="auto"/>
        <w:ind w:firstLine="480"/>
        <w:rPr>
          <w:rFonts w:hint="default" w:ascii="Times New Roman" w:hAnsi="Times New Roman"/>
          <w:sz w:val="24"/>
          <w:szCs w:val="24"/>
        </w:rPr>
      </w:pPr>
      <w:r>
        <w:rPr>
          <w:rFonts w:hint="eastAsia" w:ascii="Times New Roman" w:hAnsi="Times New Roman"/>
          <w:sz w:val="24"/>
          <w:szCs w:val="24"/>
          <w:lang w:val="en-US" w:eastAsia="zh-CN"/>
        </w:rPr>
        <w:t>8</w:t>
      </w:r>
      <w:bookmarkStart w:id="175" w:name="_GoBack"/>
      <w:bookmarkEnd w:id="175"/>
      <w:r>
        <w:rPr>
          <w:rFonts w:ascii="Times New Roman" w:hAnsi="Times New Roman"/>
          <w:sz w:val="24"/>
          <w:szCs w:val="24"/>
          <w:lang w:val="ru-RU"/>
        </w:rPr>
        <w:t xml:space="preserve">.3 </w:t>
      </w:r>
      <w:r>
        <w:fldChar w:fldCharType="begin"/>
      </w:r>
      <w:r>
        <w:instrText xml:space="preserve">HYPERLINK</w:instrText>
      </w:r>
      <w:r>
        <w:rPr>
          <w:lang w:val="ru-RU"/>
        </w:rPr>
        <w:instrText xml:space="preserve"> "</w:instrText>
      </w:r>
      <w:r>
        <w:instrText xml:space="preserve">mailto</w:instrText>
      </w:r>
      <w:r>
        <w:rPr>
          <w:lang w:val="ru-RU"/>
        </w:rPr>
        <w:instrText xml:space="preserve">:</w:instrText>
      </w:r>
      <w:r>
        <w:instrText xml:space="preserve">本项目只能有一个报价</w:instrText>
      </w:r>
      <w:r>
        <w:rPr>
          <w:lang w:val="ru-RU"/>
        </w:rPr>
        <w:instrText xml:space="preserve">，</w:instrText>
      </w:r>
      <w:r>
        <w:instrText xml:space="preserve">在响应文件提交截止时间前</w:instrText>
      </w:r>
      <w:r>
        <w:rPr>
          <w:lang w:val="ru-RU"/>
        </w:rPr>
        <w:instrText xml:space="preserve">，</w:instrText>
      </w:r>
      <w:r>
        <w:instrText xml:space="preserve">供应商若需撤回或撤销报价</w:instrText>
      </w:r>
      <w:r>
        <w:rPr>
          <w:lang w:val="ru-RU"/>
        </w:rPr>
        <w:instrText xml:space="preserve">，</w:instrText>
      </w:r>
      <w:r>
        <w:instrText xml:space="preserve">应以书面形式发出撤回或撤销申请</w:instrText>
      </w:r>
      <w:r>
        <w:rPr>
          <w:lang w:val="ru-RU"/>
        </w:rPr>
        <w:instrText xml:space="preserve">，</w:instrText>
      </w:r>
      <w:r>
        <w:instrText xml:space="preserve">并发送至采购人电子邮箱aktcgtb</w:instrText>
      </w:r>
      <w:r>
        <w:rPr>
          <w:lang w:val="ru-RU"/>
        </w:rPr>
        <w:instrText xml:space="preserve">@163.</w:instrText>
      </w:r>
      <w:r>
        <w:instrText xml:space="preserve">com或送至采购人地址告之采购人。响应文件提交截止时间后</w:instrText>
      </w:r>
      <w:r>
        <w:rPr>
          <w:lang w:val="ru-RU"/>
        </w:rPr>
        <w:instrText xml:space="preserve">，</w:instrText>
      </w:r>
      <w:r>
        <w:instrText xml:space="preserve">供应商提交的报价将不予以撤回或撤销。</w:instrText>
      </w:r>
      <w:r>
        <w:rPr>
          <w:lang w:val="ru-RU"/>
        </w:rPr>
        <w:instrText xml:space="preserve">"</w:instrText>
      </w:r>
      <w:r>
        <w:fldChar w:fldCharType="separate"/>
      </w:r>
      <w:r>
        <w:rPr>
          <w:rFonts w:ascii="Times New Roman" w:hAnsi="Times New Roman"/>
          <w:sz w:val="24"/>
          <w:szCs w:val="24"/>
        </w:rPr>
        <w:t>本项目只能有一个报价</w:t>
      </w:r>
      <w:r>
        <w:rPr>
          <w:rFonts w:ascii="Times New Roman" w:hAnsi="Times New Roman"/>
          <w:sz w:val="24"/>
          <w:szCs w:val="24"/>
          <w:lang w:val="ru-RU"/>
        </w:rPr>
        <w:t>，</w:t>
      </w:r>
      <w:r>
        <w:rPr>
          <w:rFonts w:ascii="Times New Roman" w:hAnsi="Times New Roman"/>
          <w:sz w:val="24"/>
          <w:szCs w:val="24"/>
        </w:rPr>
        <w:t>在响应文件提交截止时间前</w:t>
      </w:r>
      <w:r>
        <w:rPr>
          <w:rFonts w:ascii="Times New Roman" w:hAnsi="Times New Roman"/>
          <w:sz w:val="24"/>
          <w:szCs w:val="24"/>
          <w:lang w:val="ru-RU"/>
        </w:rPr>
        <w:t>，</w:t>
      </w:r>
      <w:r>
        <w:rPr>
          <w:rFonts w:ascii="Times New Roman" w:hAnsi="Times New Roman"/>
          <w:sz w:val="24"/>
          <w:szCs w:val="24"/>
        </w:rPr>
        <w:t>供应商若需撤回或撤销报价</w:t>
      </w:r>
      <w:r>
        <w:rPr>
          <w:rFonts w:ascii="Times New Roman" w:hAnsi="Times New Roman"/>
          <w:sz w:val="24"/>
          <w:szCs w:val="24"/>
          <w:lang w:val="ru-RU"/>
        </w:rPr>
        <w:t>，</w:t>
      </w:r>
      <w:r>
        <w:rPr>
          <w:rFonts w:ascii="Times New Roman" w:hAnsi="Times New Roman"/>
          <w:sz w:val="24"/>
          <w:szCs w:val="24"/>
        </w:rPr>
        <w:t>应以书面形式发出撤回或撤销申请</w:t>
      </w:r>
      <w:r>
        <w:rPr>
          <w:rFonts w:ascii="Times New Roman" w:hAnsi="Times New Roman"/>
          <w:sz w:val="24"/>
          <w:szCs w:val="24"/>
          <w:lang w:val="ru-RU"/>
        </w:rPr>
        <w:t>，</w:t>
      </w:r>
      <w:r>
        <w:rPr>
          <w:rFonts w:ascii="Times New Roman" w:hAnsi="Times New Roman"/>
          <w:sz w:val="24"/>
          <w:szCs w:val="24"/>
        </w:rPr>
        <w:t>并发送至采购人电子邮箱</w:t>
      </w:r>
      <w:r>
        <w:rPr>
          <w:rFonts w:hint="eastAsia" w:ascii="Times New Roman" w:hAnsi="Times New Roman"/>
          <w:sz w:val="24"/>
          <w:szCs w:val="24"/>
          <w:lang w:val="en-US" w:eastAsia="zh-CN"/>
        </w:rPr>
        <w:t>zhangxw</w:t>
      </w:r>
      <w:r>
        <w:rPr>
          <w:rFonts w:ascii="Times New Roman" w:hAnsi="Times New Roman"/>
          <w:sz w:val="24"/>
          <w:szCs w:val="24"/>
          <w:lang w:val="ru-RU"/>
        </w:rPr>
        <w:t>@</w:t>
      </w:r>
      <w:r>
        <w:rPr>
          <w:rFonts w:hint="eastAsia" w:ascii="Times New Roman" w:hAnsi="Times New Roman"/>
          <w:sz w:val="24"/>
          <w:szCs w:val="24"/>
          <w:lang w:val="en-US" w:eastAsia="zh-CN"/>
        </w:rPr>
        <w:t>chec.com.cn</w:t>
      </w:r>
      <w:r>
        <w:rPr>
          <w:rFonts w:ascii="Times New Roman" w:hAnsi="Times New Roman"/>
          <w:sz w:val="24"/>
          <w:szCs w:val="24"/>
        </w:rPr>
        <w:t>或送至采购人地址告之采购人。响应文件提交截止时间后，供应商提交的报价将不予以撤回或撤销。</w:t>
      </w:r>
      <w:r>
        <w:fldChar w:fldCharType="end"/>
      </w:r>
    </w:p>
    <w:p w14:paraId="33DE7CD3">
      <w:pPr>
        <w:rPr>
          <w:lang w:val="ru-RU"/>
        </w:rPr>
      </w:pPr>
      <w:bookmarkStart w:id="12" w:name="_Toc182814117"/>
      <w:bookmarkStart w:id="13" w:name="_Toc10388"/>
      <w:bookmarkStart w:id="14" w:name="_Toc20338"/>
      <w:bookmarkStart w:id="15" w:name="_Toc2611"/>
      <w:r>
        <w:rPr>
          <w:sz w:val="24"/>
          <w:szCs w:val="24"/>
          <w:lang w:val="ru-RU"/>
        </w:rPr>
        <w:t xml:space="preserve">В данном проекте может быть подан только один отклик. Если поставщик захочет отозвать или отменить свое предложение до крайнего срока подачи откликов, он должен направить письменное заявление с просьбой об отмене или отзыве на электронную почту заказчика </w:t>
      </w:r>
      <w:r>
        <w:rPr>
          <w:rFonts w:hint="eastAsia" w:ascii="Times New Roman" w:hAnsi="Times New Roman"/>
          <w:sz w:val="24"/>
          <w:szCs w:val="24"/>
          <w:lang w:val="en-US" w:eastAsia="zh-CN"/>
        </w:rPr>
        <w:t>zhangxw</w:t>
      </w:r>
      <w:r>
        <w:rPr>
          <w:rFonts w:ascii="Times New Roman" w:hAnsi="Times New Roman"/>
          <w:sz w:val="24"/>
          <w:szCs w:val="24"/>
          <w:lang w:val="ru-RU"/>
        </w:rPr>
        <w:t>@</w:t>
      </w:r>
      <w:r>
        <w:rPr>
          <w:rFonts w:hint="eastAsia" w:ascii="Times New Roman" w:hAnsi="Times New Roman"/>
          <w:sz w:val="24"/>
          <w:szCs w:val="24"/>
          <w:lang w:val="en-US" w:eastAsia="zh-CN"/>
        </w:rPr>
        <w:t>chec.com.cn</w:t>
      </w:r>
      <w:r>
        <w:rPr>
          <w:sz w:val="24"/>
          <w:szCs w:val="24"/>
          <w:lang w:val="ru-RU"/>
        </w:rPr>
        <w:t xml:space="preserve"> или отправить по почте на адрес заказчика. После крайнего срока подачи откликов поданные предложения не могут быть отозваны или отменены.</w:t>
      </w:r>
    </w:p>
    <w:p w14:paraId="3BABD095">
      <w:pPr>
        <w:spacing w:line="440" w:lineRule="exact"/>
        <w:ind w:firstLine="560" w:firstLineChars="200"/>
        <w:jc w:val="left"/>
        <w:outlineLvl w:val="2"/>
        <w:rPr>
          <w:rFonts w:hint="eastAsia" w:ascii="黑体" w:hAnsi="黑体" w:eastAsia="黑体" w:cs="黑体"/>
          <w:bCs/>
          <w:sz w:val="28"/>
          <w:szCs w:val="28"/>
          <w:lang w:val="ru-RU"/>
        </w:rPr>
      </w:pPr>
      <w:r>
        <w:rPr>
          <w:rFonts w:hint="eastAsia" w:ascii="黑体" w:hAnsi="黑体" w:eastAsia="黑体" w:cs="黑体"/>
          <w:bCs/>
          <w:sz w:val="28"/>
          <w:szCs w:val="28"/>
        </w:rPr>
        <w:t>九、异议提出渠道和方式</w:t>
      </w:r>
      <w:bookmarkEnd w:id="12"/>
      <w:bookmarkEnd w:id="13"/>
      <w:bookmarkEnd w:id="14"/>
      <w:bookmarkEnd w:id="15"/>
      <w:r>
        <w:rPr>
          <w:b/>
          <w:bCs/>
          <w:sz w:val="24"/>
          <w:szCs w:val="24"/>
          <w:lang w:val="ru-RU"/>
        </w:rPr>
        <w:t>Каналы и способы подачи возражений</w:t>
      </w:r>
    </w:p>
    <w:p w14:paraId="6F97C2FA">
      <w:pPr>
        <w:pStyle w:val="19"/>
        <w:ind w:firstLine="480"/>
        <w:rPr>
          <w:rFonts w:hint="default" w:ascii="Times New Roman" w:hAnsi="Times New Roman"/>
          <w:sz w:val="24"/>
          <w:szCs w:val="24"/>
          <w:lang w:val="ru-RU"/>
        </w:rPr>
      </w:pPr>
      <w:r>
        <w:rPr>
          <w:rFonts w:ascii="Times New Roman" w:hAnsi="Times New Roman"/>
          <w:sz w:val="24"/>
          <w:szCs w:val="24"/>
        </w:rPr>
        <w:t>供应商或者其他利害关系人对本采购项目的公告内容有异议的</w:t>
      </w:r>
      <w:r>
        <w:rPr>
          <w:rFonts w:ascii="Times New Roman" w:hAnsi="Times New Roman"/>
          <w:sz w:val="24"/>
          <w:szCs w:val="24"/>
          <w:lang w:val="ru-RU"/>
        </w:rPr>
        <w:t>，</w:t>
      </w:r>
      <w:r>
        <w:rPr>
          <w:rFonts w:ascii="Times New Roman" w:hAnsi="Times New Roman"/>
          <w:sz w:val="24"/>
          <w:szCs w:val="24"/>
        </w:rPr>
        <w:t>请在公告期间提出。本采购项目仅接受通过</w:t>
      </w:r>
      <w:r>
        <w:rPr>
          <w:rFonts w:hint="eastAsia" w:ascii="Times New Roman" w:hAnsi="Times New Roman"/>
          <w:sz w:val="24"/>
          <w:szCs w:val="24"/>
          <w:lang w:val="en-US" w:eastAsia="zh-CN"/>
        </w:rPr>
        <w:t>zhangxw</w:t>
      </w:r>
      <w:r>
        <w:rPr>
          <w:rFonts w:ascii="Times New Roman" w:hAnsi="Times New Roman"/>
          <w:sz w:val="24"/>
          <w:szCs w:val="24"/>
          <w:lang w:val="ru-RU"/>
        </w:rPr>
        <w:t>@</w:t>
      </w:r>
      <w:r>
        <w:rPr>
          <w:rFonts w:hint="eastAsia" w:ascii="Times New Roman" w:hAnsi="Times New Roman"/>
          <w:sz w:val="24"/>
          <w:szCs w:val="24"/>
          <w:lang w:val="en-US" w:eastAsia="zh-CN"/>
        </w:rPr>
        <w:t>chec.com.cn</w:t>
      </w:r>
      <w:r>
        <w:rPr>
          <w:rFonts w:ascii="Times New Roman" w:hAnsi="Times New Roman"/>
          <w:sz w:val="24"/>
          <w:szCs w:val="24"/>
        </w:rPr>
        <w:t>邮箱提出的异议。</w:t>
      </w:r>
    </w:p>
    <w:p w14:paraId="4C8E1BD8">
      <w:pPr>
        <w:spacing w:line="440" w:lineRule="exact"/>
        <w:ind w:firstLine="480" w:firstLineChars="200"/>
        <w:jc w:val="left"/>
        <w:outlineLvl w:val="2"/>
        <w:rPr>
          <w:rFonts w:hint="eastAsia" w:ascii="黑体" w:hAnsi="黑体" w:eastAsia="黑体" w:cs="黑体"/>
          <w:bCs/>
          <w:sz w:val="28"/>
          <w:szCs w:val="28"/>
          <w:lang w:val="ru-RU"/>
        </w:rPr>
      </w:pPr>
      <w:bookmarkStart w:id="16" w:name="_Toc13633"/>
      <w:bookmarkStart w:id="17" w:name="_Toc3706"/>
      <w:bookmarkStart w:id="18" w:name="_Toc29676"/>
      <w:bookmarkStart w:id="19" w:name="_Toc182814118"/>
      <w:r>
        <w:rPr>
          <w:sz w:val="24"/>
          <w:szCs w:val="24"/>
          <w:lang w:val="ru-RU"/>
        </w:rPr>
        <w:t>Поставщики или другие заинтересованные лица могут подать возражения по содержанию объявления о закупке в течение срока его публикации. Возражения принимаются только через электронную почту: aktcgtb@163.com.</w:t>
      </w:r>
    </w:p>
    <w:p w14:paraId="61310F13">
      <w:pPr>
        <w:spacing w:line="440" w:lineRule="exact"/>
        <w:ind w:firstLine="560" w:firstLineChars="200"/>
        <w:jc w:val="left"/>
        <w:outlineLvl w:val="2"/>
        <w:rPr>
          <w:rFonts w:hint="eastAsia" w:ascii="黑体" w:hAnsi="黑体" w:eastAsia="黑体" w:cs="黑体"/>
          <w:bCs/>
          <w:sz w:val="28"/>
          <w:szCs w:val="28"/>
          <w:lang w:val="ru-RU"/>
        </w:rPr>
      </w:pPr>
      <w:r>
        <w:rPr>
          <w:rFonts w:hint="eastAsia" w:ascii="黑体" w:hAnsi="黑体" w:eastAsia="黑体" w:cs="黑体"/>
          <w:bCs/>
          <w:sz w:val="28"/>
          <w:szCs w:val="28"/>
        </w:rPr>
        <w:t>十、监督部门</w:t>
      </w:r>
      <w:bookmarkEnd w:id="16"/>
      <w:bookmarkEnd w:id="17"/>
      <w:bookmarkEnd w:id="18"/>
      <w:bookmarkEnd w:id="19"/>
      <w:r>
        <w:rPr>
          <w:lang w:val="ru-RU"/>
        </w:rPr>
        <w:t>Контрольный орган</w:t>
      </w:r>
    </w:p>
    <w:p w14:paraId="02E95FB2">
      <w:pPr>
        <w:ind w:firstLine="480"/>
        <w:rPr>
          <w:rFonts w:hint="eastAsia" w:ascii="宋体" w:hAnsi="宋体"/>
          <w:szCs w:val="24"/>
          <w:lang w:bidi="ar"/>
        </w:rPr>
      </w:pPr>
      <w:r>
        <w:rPr>
          <w:rFonts w:hint="eastAsia" w:ascii="宋体" w:hAnsi="宋体"/>
          <w:szCs w:val="24"/>
          <w:lang w:bidi="ar"/>
        </w:rPr>
        <w:t>供应商（供应商）或者其他利害关系人认为采购活动不符合法律法规的，可以自知道或者应当知道之日起</w:t>
      </w:r>
      <w:r>
        <w:rPr>
          <w:rFonts w:ascii="宋体" w:hAnsi="宋体"/>
          <w:szCs w:val="24"/>
          <w:lang w:bidi="ar"/>
        </w:rPr>
        <w:t>10</w:t>
      </w:r>
      <w:r>
        <w:rPr>
          <w:rFonts w:hint="eastAsia" w:ascii="宋体" w:hAnsi="宋体"/>
          <w:szCs w:val="24"/>
          <w:lang w:bidi="ar"/>
        </w:rPr>
        <w:t>日内进行投诉。</w:t>
      </w:r>
    </w:p>
    <w:p w14:paraId="279274CB">
      <w:pPr>
        <w:ind w:firstLine="480"/>
        <w:rPr>
          <w:rFonts w:hint="eastAsia" w:ascii="宋体" w:hAnsi="宋体"/>
          <w:szCs w:val="24"/>
          <w:lang w:val="ru-RU" w:bidi="ar"/>
        </w:rPr>
      </w:pPr>
      <w:r>
        <w:rPr>
          <w:sz w:val="24"/>
          <w:szCs w:val="24"/>
          <w:lang w:val="ru-RU"/>
        </w:rPr>
        <w:t>Поставщики или другие заинтересованные лица могут подать жалобу, если они считают, что закупочная деятельность нарушает законы и нормативные акты. Жалобу можно подать в течение 10 дней с момента, когда стало известно или должно было стать известно о нарушении.</w:t>
      </w:r>
    </w:p>
    <w:p w14:paraId="6E99E676">
      <w:pPr>
        <w:ind w:firstLine="480"/>
        <w:jc w:val="left"/>
        <w:rPr>
          <w:rFonts w:hint="eastAsia" w:ascii="宋体" w:hAnsi="宋体"/>
          <w:szCs w:val="24"/>
          <w:lang w:bidi="ar"/>
        </w:rPr>
      </w:pPr>
      <w:r>
        <w:rPr>
          <w:rFonts w:hint="eastAsia" w:ascii="宋体" w:hAnsi="宋体"/>
          <w:szCs w:val="24"/>
          <w:lang w:bidi="ar"/>
        </w:rPr>
        <w:t>本采购项目的监督部门为</w:t>
      </w:r>
      <w:r>
        <w:rPr>
          <w:rFonts w:hint="eastAsia" w:ascii="宋体" w:hAnsi="宋体"/>
          <w:sz w:val="21"/>
          <w:szCs w:val="24"/>
          <w:lang w:val="en-US" w:eastAsia="zh-CN" w:bidi="ar"/>
        </w:rPr>
        <w:t>中国华电科工集团有限公司采购监督</w:t>
      </w:r>
      <w:r>
        <w:rPr>
          <w:rFonts w:hint="eastAsia" w:ascii="宋体" w:hAnsi="宋体"/>
          <w:szCs w:val="24"/>
          <w:lang w:bidi="ar"/>
        </w:rPr>
        <w:t>。</w:t>
      </w:r>
    </w:p>
    <w:p w14:paraId="0F31F252">
      <w:pPr>
        <w:ind w:firstLine="480"/>
        <w:jc w:val="left"/>
        <w:rPr>
          <w:rFonts w:hint="default" w:ascii="Times New Roman" w:hAnsi="Times New Roman"/>
          <w:szCs w:val="20"/>
          <w:lang w:val="ru-RU" w:bidi="ar"/>
        </w:rPr>
      </w:pPr>
      <w:r>
        <w:rPr>
          <w:lang w:val="ru-RU"/>
        </w:rPr>
        <w:t xml:space="preserve">Контрольным органом для данного проекта является </w:t>
      </w:r>
      <w:r>
        <w:rPr>
          <w:rStyle w:val="22"/>
          <w:rFonts w:hint="default" w:ascii="Times New Roman" w:hAnsi="Times New Roman" w:eastAsia="宋体" w:cs="Times New Roman"/>
          <w:lang w:val="ru-RU"/>
        </w:rPr>
        <w:t>Надзор за закупками Китайской научно-промышленной корпорации Хуадянь</w:t>
      </w:r>
      <w:r>
        <w:rPr>
          <w:rStyle w:val="22"/>
          <w:rFonts w:ascii="Times New Roman" w:hAnsi="Times New Roman" w:eastAsia="宋体" w:cs="Times New Roman"/>
          <w:lang w:val="ru-RU"/>
        </w:rPr>
        <w:t>.</w:t>
      </w:r>
      <w:r>
        <w:rPr>
          <w:lang w:val="ru-RU"/>
        </w:rPr>
        <w:t>.</w:t>
      </w:r>
    </w:p>
    <w:p w14:paraId="6FB9C01C">
      <w:pPr>
        <w:ind w:firstLine="480"/>
        <w:rPr>
          <w:rFonts w:hint="eastAsia" w:ascii="宋体" w:hAnsi="宋体"/>
          <w:szCs w:val="24"/>
          <w:lang w:bidi="ar"/>
        </w:rPr>
      </w:pPr>
      <w:r>
        <w:rPr>
          <w:rFonts w:hint="eastAsia" w:ascii="宋体" w:hAnsi="宋体"/>
          <w:szCs w:val="24"/>
          <w:lang w:bidi="ar"/>
        </w:rPr>
        <w:t>采购监督投诉受理邮箱</w:t>
      </w:r>
      <w:r>
        <w:rPr>
          <w:rFonts w:hint="eastAsia" w:ascii="宋体" w:hAnsi="宋体"/>
          <w:szCs w:val="24"/>
          <w:lang w:val="ru-RU" w:bidi="ar"/>
        </w:rPr>
        <w:t>：</w:t>
      </w:r>
      <w:r>
        <w:rPr>
          <w:rFonts w:hint="eastAsia" w:ascii="宋体" w:hAnsi="宋体"/>
          <w:szCs w:val="24"/>
          <w:lang w:bidi="ar"/>
        </w:rPr>
        <w:fldChar w:fldCharType="begin"/>
      </w:r>
      <w:r>
        <w:rPr>
          <w:rFonts w:hint="eastAsia" w:ascii="宋体" w:hAnsi="宋体"/>
          <w:szCs w:val="24"/>
          <w:lang w:val="ru-RU" w:bidi="ar"/>
        </w:rPr>
        <w:instrText xml:space="preserve"> </w:instrText>
      </w:r>
      <w:r>
        <w:rPr>
          <w:rFonts w:hint="eastAsia" w:ascii="宋体" w:hAnsi="宋体"/>
          <w:szCs w:val="24"/>
          <w:lang w:bidi="ar"/>
        </w:rPr>
        <w:instrText xml:space="preserve">HYPERLINK</w:instrText>
      </w:r>
      <w:r>
        <w:rPr>
          <w:rFonts w:hint="eastAsia" w:ascii="宋体" w:hAnsi="宋体"/>
          <w:szCs w:val="24"/>
          <w:lang w:val="ru-RU" w:bidi="ar"/>
        </w:rPr>
        <w:instrText xml:space="preserve"> "</w:instrText>
      </w:r>
      <w:r>
        <w:rPr>
          <w:rFonts w:hint="eastAsia" w:ascii="宋体" w:hAnsi="宋体"/>
          <w:szCs w:val="24"/>
          <w:lang w:bidi="ar"/>
        </w:rPr>
        <w:instrText xml:space="preserve">mailto</w:instrText>
      </w:r>
      <w:r>
        <w:rPr>
          <w:rFonts w:hint="eastAsia" w:ascii="宋体" w:hAnsi="宋体"/>
          <w:szCs w:val="24"/>
          <w:lang w:val="ru-RU" w:bidi="ar"/>
        </w:rPr>
        <w:instrText xml:space="preserve">:</w:instrText>
      </w:r>
      <w:r>
        <w:rPr>
          <w:rFonts w:hint="eastAsia" w:ascii="宋体" w:hAnsi="宋体"/>
          <w:szCs w:val="24"/>
          <w:lang w:bidi="ar"/>
        </w:rPr>
        <w:instrText xml:space="preserve">caigoujiandu</w:instrText>
      </w:r>
      <w:r>
        <w:rPr>
          <w:rFonts w:hint="eastAsia" w:ascii="宋体" w:hAnsi="宋体"/>
          <w:szCs w:val="24"/>
          <w:lang w:val="ru-RU" w:bidi="ar"/>
        </w:rPr>
        <w:instrText xml:space="preserve">@</w:instrText>
      </w:r>
      <w:r>
        <w:rPr>
          <w:rFonts w:hint="eastAsia" w:ascii="宋体" w:hAnsi="宋体"/>
          <w:szCs w:val="24"/>
          <w:lang w:bidi="ar"/>
        </w:rPr>
        <w:instrText xml:space="preserve">chdhk</w:instrText>
      </w:r>
      <w:r>
        <w:rPr>
          <w:rFonts w:hint="eastAsia" w:ascii="宋体" w:hAnsi="宋体"/>
          <w:szCs w:val="24"/>
          <w:lang w:val="ru-RU" w:bidi="ar"/>
        </w:rPr>
        <w:instrText xml:space="preserve">.</w:instrText>
      </w:r>
      <w:r>
        <w:rPr>
          <w:rFonts w:hint="eastAsia" w:ascii="宋体" w:hAnsi="宋体"/>
          <w:szCs w:val="24"/>
          <w:lang w:bidi="ar"/>
        </w:rPr>
        <w:instrText xml:space="preserve">com。本采购项目仅接受通过此邮箱提出的异议。</w:instrText>
      </w:r>
      <w:r>
        <w:rPr>
          <w:rFonts w:hint="eastAsia" w:ascii="宋体" w:hAnsi="宋体"/>
          <w:szCs w:val="24"/>
          <w:lang w:val="ru-RU" w:bidi="ar"/>
        </w:rPr>
        <w:instrText xml:space="preserve">" </w:instrText>
      </w:r>
      <w:r>
        <w:rPr>
          <w:rFonts w:hint="eastAsia" w:ascii="宋体" w:hAnsi="宋体"/>
          <w:szCs w:val="24"/>
          <w:lang w:bidi="ar"/>
        </w:rPr>
        <w:fldChar w:fldCharType="separate"/>
      </w:r>
      <w:r>
        <w:rPr>
          <w:rFonts w:hint="eastAsia"/>
        </w:rPr>
        <w:t>chec cgjd@chd.com.cn</w:t>
      </w:r>
      <w:r>
        <w:rPr>
          <w:rStyle w:val="24"/>
          <w:rFonts w:hint="eastAsia" w:ascii="宋体" w:hAnsi="宋体"/>
          <w:szCs w:val="24"/>
          <w:lang w:bidi="ar"/>
        </w:rPr>
        <w:t>。本采购项目仅接受通过此邮箱提出的异议。</w:t>
      </w:r>
      <w:r>
        <w:rPr>
          <w:rFonts w:hint="eastAsia" w:ascii="宋体" w:hAnsi="宋体"/>
          <w:szCs w:val="24"/>
          <w:lang w:bidi="ar"/>
        </w:rPr>
        <w:fldChar w:fldCharType="end"/>
      </w:r>
    </w:p>
    <w:p w14:paraId="43B68816">
      <w:pPr>
        <w:ind w:firstLine="480"/>
      </w:pPr>
      <w:r>
        <w:rPr>
          <w:b w:val="0"/>
          <w:bCs w:val="0"/>
          <w:sz w:val="24"/>
          <w:szCs w:val="24"/>
          <w:lang w:val="ru-RU"/>
        </w:rPr>
        <w:t>Электронная почта для подачи жалоб:</w:t>
      </w:r>
      <w:r>
        <w:rPr>
          <w:sz w:val="24"/>
          <w:szCs w:val="24"/>
          <w:lang w:val="ru-RU"/>
        </w:rPr>
        <w:t xml:space="preserve"> </w:t>
      </w:r>
      <w:r>
        <w:rPr>
          <w:rFonts w:hint="eastAsia"/>
        </w:rPr>
        <w:t>chec cgjd@chd.com.cn</w:t>
      </w:r>
      <w:r>
        <w:rPr>
          <w:sz w:val="24"/>
          <w:szCs w:val="24"/>
          <w:lang w:val="ru-RU"/>
        </w:rPr>
        <w:t>caigoujiandu@chdhk.com. Возражения принимаются только через эту почту.</w:t>
      </w:r>
    </w:p>
    <w:p w14:paraId="05BBD0D8">
      <w:pPr>
        <w:spacing w:line="440" w:lineRule="exact"/>
        <w:ind w:firstLine="560" w:firstLineChars="200"/>
        <w:jc w:val="left"/>
        <w:outlineLvl w:val="2"/>
        <w:rPr>
          <w:rFonts w:hint="eastAsia" w:ascii="黑体" w:hAnsi="黑体" w:eastAsia="黑体" w:cs="黑体"/>
          <w:bCs/>
          <w:sz w:val="28"/>
          <w:szCs w:val="28"/>
          <w:lang w:val="ru-RU"/>
        </w:rPr>
      </w:pPr>
      <w:bookmarkStart w:id="20" w:name="_Toc122531870"/>
      <w:r>
        <w:rPr>
          <w:rFonts w:hint="eastAsia" w:ascii="黑体" w:hAnsi="黑体" w:eastAsia="黑体" w:cs="黑体"/>
          <w:bCs/>
          <w:sz w:val="28"/>
          <w:szCs w:val="28"/>
        </w:rPr>
        <w:t>十一、联系方式</w:t>
      </w:r>
      <w:bookmarkEnd w:id="20"/>
    </w:p>
    <w:p w14:paraId="09E60A14">
      <w:pPr>
        <w:pStyle w:val="19"/>
        <w:ind w:firstLine="480"/>
        <w:rPr>
          <w:rFonts w:ascii="Times New Roman" w:hAnsi="Times New Roman"/>
          <w:sz w:val="24"/>
          <w:szCs w:val="24"/>
        </w:rPr>
      </w:pPr>
      <w:r>
        <w:rPr>
          <w:rFonts w:ascii="Times New Roman" w:hAnsi="Times New Roman"/>
          <w:sz w:val="24"/>
          <w:szCs w:val="24"/>
        </w:rPr>
        <w:t>联系人</w:t>
      </w:r>
      <w:r>
        <w:rPr>
          <w:rFonts w:ascii="Times New Roman" w:hAnsi="Times New Roman"/>
          <w:sz w:val="24"/>
          <w:szCs w:val="24"/>
          <w:lang w:val="ru-RU"/>
        </w:rPr>
        <w:t>1：</w:t>
      </w:r>
      <w:r>
        <w:rPr>
          <w:rFonts w:hint="eastAsia" w:ascii="Times New Roman" w:hAnsi="Times New Roman"/>
          <w:sz w:val="24"/>
          <w:szCs w:val="24"/>
          <w:lang w:val="en-US" w:eastAsia="zh-CN"/>
        </w:rPr>
        <w:t>张效伟</w:t>
      </w:r>
      <w:r>
        <w:rPr>
          <w:rFonts w:ascii="Times New Roman" w:hAnsi="Times New Roman"/>
          <w:sz w:val="24"/>
          <w:szCs w:val="24"/>
          <w:lang w:val="ru-RU"/>
        </w:rPr>
        <w:t>，</w:t>
      </w:r>
      <w:r>
        <w:rPr>
          <w:rFonts w:ascii="Times New Roman" w:hAnsi="Times New Roman"/>
          <w:sz w:val="24"/>
          <w:szCs w:val="24"/>
        </w:rPr>
        <w:t>电话</w:t>
      </w:r>
      <w:r>
        <w:rPr>
          <w:rFonts w:ascii="Times New Roman" w:hAnsi="Times New Roman"/>
          <w:sz w:val="24"/>
          <w:szCs w:val="24"/>
          <w:lang w:val="ru-RU"/>
        </w:rPr>
        <w:t>：</w:t>
      </w:r>
      <w:r>
        <w:rPr>
          <w:rFonts w:hint="eastAsia" w:ascii="Times New Roman" w:hAnsi="Times New Roman"/>
          <w:sz w:val="24"/>
          <w:szCs w:val="24"/>
          <w:lang w:val="ru-RU"/>
        </w:rPr>
        <w:t>7 776 024 6295</w:t>
      </w:r>
      <w:r>
        <w:rPr>
          <w:rFonts w:ascii="Times New Roman" w:hAnsi="Times New Roman"/>
          <w:sz w:val="24"/>
          <w:szCs w:val="24"/>
        </w:rPr>
        <w:t>。</w:t>
      </w:r>
    </w:p>
    <w:p w14:paraId="02200280">
      <w:pPr>
        <w:rPr>
          <w:lang w:val="ru-RU"/>
        </w:rPr>
      </w:pPr>
      <w:r>
        <w:rPr>
          <w:sz w:val="24"/>
          <w:szCs w:val="24"/>
          <w:lang w:val="ru-RU"/>
        </w:rPr>
        <w:t xml:space="preserve"> </w:t>
      </w:r>
      <w:r>
        <w:rPr>
          <w:b/>
          <w:bCs/>
          <w:sz w:val="24"/>
          <w:szCs w:val="24"/>
          <w:lang w:val="ru-RU"/>
        </w:rPr>
        <w:t>Контактное лицо 1</w:t>
      </w:r>
      <w:r>
        <w:rPr>
          <w:sz w:val="24"/>
          <w:szCs w:val="24"/>
          <w:lang w:val="ru-RU"/>
        </w:rPr>
        <w:t>:</w:t>
      </w:r>
      <w:r>
        <w:rPr>
          <w:rFonts w:hint="eastAsia"/>
          <w:sz w:val="24"/>
          <w:szCs w:val="24"/>
          <w:lang w:val="en-US" w:eastAsia="zh-CN"/>
        </w:rPr>
        <w:t>xiaowei zhang</w:t>
      </w:r>
      <w:r>
        <w:rPr>
          <w:sz w:val="24"/>
          <w:szCs w:val="24"/>
          <w:lang w:val="ru-RU"/>
        </w:rPr>
        <w:t xml:space="preserve"> телефон: </w:t>
      </w:r>
      <w:r>
        <w:rPr>
          <w:rFonts w:hint="eastAsia" w:ascii="Times New Roman" w:hAnsi="Times New Roman"/>
          <w:sz w:val="24"/>
          <w:szCs w:val="24"/>
          <w:lang w:val="ru-RU"/>
        </w:rPr>
        <w:t>7 776 024 6295</w:t>
      </w:r>
      <w:r>
        <w:rPr>
          <w:rFonts w:hint="eastAsia"/>
          <w:sz w:val="24"/>
          <w:szCs w:val="24"/>
          <w:lang w:val="ru-RU"/>
        </w:rPr>
        <w:t>.</w:t>
      </w:r>
    </w:p>
    <w:p w14:paraId="05E247CC">
      <w:pPr>
        <w:pStyle w:val="19"/>
        <w:ind w:firstLine="480"/>
        <w:rPr>
          <w:rFonts w:ascii="Times New Roman" w:hAnsi="Times New Roman"/>
          <w:sz w:val="24"/>
          <w:szCs w:val="24"/>
          <w:lang w:val="ru-RU"/>
        </w:rPr>
      </w:pPr>
      <w:r>
        <w:rPr>
          <w:rFonts w:ascii="Times New Roman" w:hAnsi="Times New Roman"/>
          <w:sz w:val="24"/>
          <w:szCs w:val="24"/>
        </w:rPr>
        <w:t>联系人</w:t>
      </w:r>
      <w:r>
        <w:rPr>
          <w:rFonts w:ascii="Times New Roman" w:hAnsi="Times New Roman"/>
          <w:sz w:val="24"/>
          <w:szCs w:val="24"/>
          <w:lang w:val="ru-RU"/>
        </w:rPr>
        <w:t>2：</w:t>
      </w:r>
      <w:r>
        <w:rPr>
          <w:rFonts w:hint="eastAsia" w:ascii="Times New Roman" w:hAnsi="Times New Roman"/>
          <w:sz w:val="24"/>
          <w:szCs w:val="24"/>
          <w:lang w:val="en-US" w:eastAsia="zh-CN"/>
        </w:rPr>
        <w:t>惠卫林</w:t>
      </w:r>
      <w:r>
        <w:rPr>
          <w:rFonts w:ascii="Times New Roman" w:hAnsi="Times New Roman"/>
          <w:sz w:val="24"/>
          <w:szCs w:val="24"/>
          <w:lang w:val="ru-RU"/>
        </w:rPr>
        <w:t>，</w:t>
      </w:r>
      <w:r>
        <w:rPr>
          <w:rFonts w:ascii="Times New Roman" w:hAnsi="Times New Roman"/>
          <w:sz w:val="24"/>
          <w:szCs w:val="24"/>
        </w:rPr>
        <w:t>电话</w:t>
      </w:r>
      <w:r>
        <w:rPr>
          <w:rFonts w:ascii="Times New Roman" w:hAnsi="Times New Roman"/>
          <w:sz w:val="24"/>
          <w:szCs w:val="24"/>
          <w:lang w:val="ru-RU"/>
        </w:rPr>
        <w:t>：</w:t>
      </w:r>
      <w:r>
        <w:rPr>
          <w:rFonts w:hint="eastAsia" w:ascii="Times New Roman" w:hAnsi="Times New Roman"/>
          <w:sz w:val="24"/>
          <w:szCs w:val="24"/>
          <w:lang w:val="ru-RU"/>
        </w:rPr>
        <w:t>7</w:t>
      </w:r>
      <w:r>
        <w:rPr>
          <w:rFonts w:hint="eastAsia" w:ascii="Times New Roman" w:hAnsi="Times New Roman"/>
          <w:sz w:val="24"/>
          <w:szCs w:val="24"/>
          <w:lang w:val="ru-RU" w:eastAsia="zh-CN"/>
        </w:rPr>
        <w:t xml:space="preserve"> </w:t>
      </w:r>
      <w:r>
        <w:rPr>
          <w:rFonts w:hint="eastAsia" w:ascii="Times New Roman" w:hAnsi="Times New Roman"/>
          <w:sz w:val="24"/>
          <w:szCs w:val="24"/>
          <w:lang w:val="ru-RU"/>
        </w:rPr>
        <w:t>771593 3718</w:t>
      </w:r>
      <w:r>
        <w:rPr>
          <w:rFonts w:ascii="Times New Roman" w:hAnsi="Times New Roman"/>
          <w:sz w:val="24"/>
          <w:szCs w:val="24"/>
          <w:lang w:val="ru-RU"/>
        </w:rPr>
        <w:t>。</w:t>
      </w:r>
    </w:p>
    <w:p w14:paraId="2EA0C213">
      <w:pPr>
        <w:rPr>
          <w:lang w:val="ru-RU"/>
        </w:rPr>
      </w:pPr>
      <w:r>
        <w:rPr>
          <w:sz w:val="24"/>
          <w:szCs w:val="24"/>
          <w:lang w:val="ru-RU"/>
        </w:rPr>
        <w:t xml:space="preserve"> </w:t>
      </w:r>
      <w:r>
        <w:rPr>
          <w:b/>
          <w:bCs/>
          <w:sz w:val="24"/>
          <w:szCs w:val="24"/>
          <w:lang w:val="ru-RU"/>
        </w:rPr>
        <w:t xml:space="preserve">Контактное лицо 2: </w:t>
      </w:r>
      <w:r>
        <w:rPr>
          <w:rFonts w:hint="eastAsia"/>
          <w:sz w:val="24"/>
          <w:szCs w:val="24"/>
          <w:lang w:val="en-US" w:eastAsia="zh-CN"/>
        </w:rPr>
        <w:t xml:space="preserve">weilin hui  </w:t>
      </w:r>
      <w:r>
        <w:rPr>
          <w:sz w:val="24"/>
          <w:szCs w:val="24"/>
          <w:lang w:val="ru-RU"/>
        </w:rPr>
        <w:t xml:space="preserve">, телефон: </w:t>
      </w:r>
      <w:r>
        <w:rPr>
          <w:lang w:val="ru-RU"/>
        </w:rPr>
        <w:t>+</w:t>
      </w:r>
      <w:r>
        <w:rPr>
          <w:rFonts w:hint="eastAsia" w:ascii="Times New Roman" w:hAnsi="Times New Roman"/>
          <w:sz w:val="24"/>
          <w:szCs w:val="24"/>
          <w:lang w:val="ru-RU"/>
        </w:rPr>
        <w:t>7</w:t>
      </w:r>
      <w:r>
        <w:rPr>
          <w:rFonts w:hint="eastAsia" w:ascii="Times New Roman" w:hAnsi="Times New Roman"/>
          <w:sz w:val="24"/>
          <w:szCs w:val="24"/>
          <w:lang w:val="ru-RU" w:eastAsia="zh-CN"/>
        </w:rPr>
        <w:t xml:space="preserve"> </w:t>
      </w:r>
      <w:r>
        <w:rPr>
          <w:rFonts w:hint="eastAsia" w:ascii="Times New Roman" w:hAnsi="Times New Roman"/>
          <w:sz w:val="24"/>
          <w:szCs w:val="24"/>
          <w:lang w:val="ru-RU"/>
        </w:rPr>
        <w:t>771593 3718</w:t>
      </w:r>
    </w:p>
    <w:p w14:paraId="5E206260">
      <w:pPr>
        <w:pStyle w:val="19"/>
        <w:ind w:firstLine="480"/>
        <w:rPr>
          <w:rFonts w:ascii="Times New Roman" w:hAnsi="Times New Roman"/>
          <w:sz w:val="24"/>
          <w:szCs w:val="24"/>
          <w:lang w:val="ru-RU"/>
        </w:rPr>
      </w:pPr>
      <w:r>
        <w:rPr>
          <w:rFonts w:ascii="Times New Roman" w:hAnsi="Times New Roman"/>
          <w:sz w:val="24"/>
          <w:szCs w:val="24"/>
        </w:rPr>
        <w:t>联系邮箱</w:t>
      </w:r>
      <w:r>
        <w:rPr>
          <w:rFonts w:ascii="Times New Roman" w:hAnsi="Times New Roman"/>
          <w:sz w:val="24"/>
          <w:szCs w:val="24"/>
          <w:lang w:val="ru-RU"/>
        </w:rPr>
        <w:t>：</w:t>
      </w:r>
      <w:r>
        <w:rPr>
          <w:rFonts w:hint="eastAsia" w:ascii="Times New Roman" w:hAnsi="Times New Roman"/>
          <w:sz w:val="24"/>
          <w:szCs w:val="24"/>
          <w:lang w:val="en-US" w:eastAsia="zh-CN"/>
        </w:rPr>
        <w:t>zhangxw@chec.com.cn</w:t>
      </w:r>
      <w:r>
        <w:rPr>
          <w:rFonts w:hint="eastAsia"/>
          <w:lang w:val="en-US" w:eastAsia="zh-CN"/>
        </w:rPr>
        <w:t xml:space="preserve"> </w:t>
      </w:r>
      <w:r>
        <w:rPr>
          <w:rFonts w:ascii="Times New Roman" w:hAnsi="Times New Roman"/>
          <w:sz w:val="24"/>
          <w:szCs w:val="24"/>
        </w:rPr>
        <w:t>。</w:t>
      </w:r>
    </w:p>
    <w:p w14:paraId="7DD9CB59">
      <w:pPr>
        <w:rPr>
          <w:rFonts w:hint="eastAsia" w:eastAsia="宋体"/>
          <w:lang w:val="en-US" w:eastAsia="zh-CN"/>
        </w:rPr>
      </w:pPr>
      <w:r>
        <w:rPr>
          <w:b/>
          <w:bCs/>
          <w:sz w:val="24"/>
          <w:szCs w:val="24"/>
          <w:lang w:val="ru-RU"/>
        </w:rPr>
        <w:t xml:space="preserve">Электронная почта для связи: </w:t>
      </w:r>
      <w:r>
        <w:rPr>
          <w:rFonts w:hint="eastAsia" w:ascii="Times New Roman" w:hAnsi="Times New Roman"/>
          <w:sz w:val="24"/>
          <w:szCs w:val="24"/>
          <w:lang w:val="en-US" w:eastAsia="zh-CN"/>
        </w:rPr>
        <w:t>zhangxw@chec.com.cn</w:t>
      </w:r>
      <w:r>
        <w:rPr>
          <w:rFonts w:hint="eastAsia"/>
          <w:sz w:val="24"/>
          <w:szCs w:val="24"/>
          <w:lang w:val="en-US" w:eastAsia="zh-CN"/>
        </w:rPr>
        <w:t>.</w:t>
      </w:r>
    </w:p>
    <w:p w14:paraId="7A39BB84">
      <w:pPr>
        <w:spacing w:line="440" w:lineRule="exact"/>
        <w:ind w:firstLine="560" w:firstLineChars="200"/>
        <w:jc w:val="left"/>
        <w:outlineLvl w:val="2"/>
        <w:rPr>
          <w:rFonts w:hint="eastAsia" w:ascii="黑体" w:hAnsi="黑体" w:eastAsia="黑体" w:cs="黑体"/>
          <w:bCs/>
          <w:sz w:val="28"/>
          <w:szCs w:val="28"/>
        </w:rPr>
      </w:pPr>
      <w:bookmarkStart w:id="21" w:name="_Toc25276"/>
      <w:bookmarkStart w:id="22" w:name="_Toc10804"/>
      <w:bookmarkStart w:id="23" w:name="_Toc14264"/>
      <w:bookmarkStart w:id="24" w:name="_Toc26092"/>
      <w:r>
        <w:rPr>
          <w:rFonts w:hint="eastAsia" w:ascii="黑体" w:hAnsi="黑体" w:eastAsia="黑体" w:cs="黑体"/>
          <w:bCs/>
          <w:sz w:val="28"/>
          <w:szCs w:val="28"/>
        </w:rPr>
        <w:t>十二、确认报价参与函</w:t>
      </w:r>
      <w:bookmarkEnd w:id="21"/>
      <w:bookmarkEnd w:id="22"/>
      <w:bookmarkEnd w:id="23"/>
      <w:bookmarkEnd w:id="24"/>
      <w:r>
        <w:t>Подтверждение участия в тендере</w:t>
      </w:r>
    </w:p>
    <w:p w14:paraId="5F717DFC">
      <w:pPr>
        <w:ind w:firstLine="480"/>
      </w:pPr>
      <w:r>
        <w:rPr>
          <w:rFonts w:hint="eastAsia"/>
        </w:rPr>
        <w:t xml:space="preserve"> </w:t>
      </w:r>
    </w:p>
    <w:tbl>
      <w:tblPr>
        <w:tblStyle w:val="20"/>
        <w:tblW w:w="8763"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2"/>
        <w:gridCol w:w="5591"/>
      </w:tblGrid>
      <w:tr w14:paraId="7941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63" w:type="dxa"/>
            <w:gridSpan w:val="2"/>
            <w:tcBorders>
              <w:top w:val="single" w:color="auto" w:sz="4" w:space="0"/>
              <w:left w:val="single" w:color="auto" w:sz="4" w:space="0"/>
              <w:bottom w:val="single" w:color="auto" w:sz="4" w:space="0"/>
              <w:right w:val="single" w:color="auto" w:sz="4" w:space="0"/>
            </w:tcBorders>
            <w:noWrap w:val="0"/>
            <w:vAlign w:val="top"/>
          </w:tcPr>
          <w:p w14:paraId="77B30EF9">
            <w:pPr>
              <w:adjustRightInd w:val="0"/>
              <w:snapToGrid w:val="0"/>
              <w:spacing w:after="0" w:line="240" w:lineRule="auto"/>
              <w:jc w:val="center"/>
              <w:rPr>
                <w:rFonts w:hint="eastAsia"/>
              </w:rPr>
            </w:pPr>
            <w:r>
              <w:rPr>
                <w:rFonts w:hint="eastAsia"/>
              </w:rPr>
              <w:t>哈萨克斯坦阿克套燃机项目</w:t>
            </w:r>
            <w:r>
              <w:rPr>
                <w:rFonts w:hint="eastAsia"/>
                <w:lang w:val="en-US" w:eastAsia="zh-CN"/>
              </w:rPr>
              <w:t>会计代理</w:t>
            </w:r>
            <w:r>
              <w:rPr>
                <w:rFonts w:hint="eastAsia"/>
              </w:rPr>
              <w:t>服务</w:t>
            </w:r>
          </w:p>
          <w:p w14:paraId="0D1CD015">
            <w:pPr>
              <w:adjustRightInd w:val="0"/>
              <w:snapToGrid w:val="0"/>
              <w:spacing w:after="0" w:line="240" w:lineRule="auto"/>
              <w:jc w:val="center"/>
            </w:pPr>
            <w:r>
              <w:t xml:space="preserve"> </w:t>
            </w:r>
            <w:r>
              <w:rPr>
                <w:rFonts w:hint="default" w:eastAsia="宋体"/>
                <w:b w:val="0"/>
                <w:lang w:val="en-US" w:eastAsia="zh-CN"/>
              </w:rPr>
              <w:t>Y</w:t>
            </w:r>
            <w:r>
              <w:rPr>
                <w:rFonts w:ascii="Times New Roman" w:hAnsi="Times New Roman" w:eastAsia="宋体" w:cs="Times New Roman"/>
                <w:b w:val="0"/>
                <w:sz w:val="21"/>
                <w:szCs w:val="20"/>
                <w:lang w:val="ru-RU"/>
              </w:rPr>
              <w:t>слуг по ведению бухгалтерского учета</w:t>
            </w:r>
            <w:r>
              <w:t xml:space="preserve"> строительства газотурбинной установки в Актау</w:t>
            </w:r>
          </w:p>
          <w:p w14:paraId="3BEB0F15">
            <w:pPr>
              <w:adjustRightInd w:val="0"/>
              <w:snapToGrid w:val="0"/>
              <w:spacing w:after="0" w:line="240" w:lineRule="auto"/>
              <w:jc w:val="center"/>
              <w:rPr>
                <w:rFonts w:hint="eastAsia"/>
              </w:rPr>
            </w:pPr>
            <w:r>
              <w:rPr>
                <w:rFonts w:hint="eastAsia"/>
              </w:rPr>
              <w:t>报价参与函</w:t>
            </w:r>
          </w:p>
          <w:p w14:paraId="016ACD5C">
            <w:pPr>
              <w:pStyle w:val="19"/>
              <w:ind w:firstLine="420"/>
              <w:jc w:val="center"/>
            </w:pPr>
            <w:r>
              <w:rPr>
                <w:rFonts w:hint="default" w:ascii="Times New Roman" w:hAnsi="Times New Roman"/>
              </w:rPr>
              <w:t>Подтверждение участия в тендере</w:t>
            </w:r>
          </w:p>
        </w:tc>
      </w:tr>
      <w:tr w14:paraId="410C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72" w:type="dxa"/>
            <w:tcBorders>
              <w:top w:val="single" w:color="auto" w:sz="4" w:space="0"/>
              <w:left w:val="single" w:color="auto" w:sz="4" w:space="0"/>
              <w:bottom w:val="single" w:color="auto" w:sz="4" w:space="0"/>
              <w:right w:val="single" w:color="auto" w:sz="4" w:space="0"/>
            </w:tcBorders>
            <w:noWrap w:val="0"/>
            <w:vAlign w:val="center"/>
          </w:tcPr>
          <w:p w14:paraId="2579E7BD">
            <w:pPr>
              <w:pStyle w:val="12"/>
            </w:pPr>
            <w:r>
              <w:rPr>
                <w:szCs w:val="18"/>
              </w:rPr>
              <w:t>响应单位/响应人Ответственное лицо / организация</w:t>
            </w:r>
          </w:p>
        </w:tc>
        <w:tc>
          <w:tcPr>
            <w:tcW w:w="5591" w:type="dxa"/>
            <w:tcBorders>
              <w:top w:val="single" w:color="auto" w:sz="4" w:space="0"/>
              <w:left w:val="nil"/>
              <w:bottom w:val="single" w:color="auto" w:sz="4" w:space="0"/>
              <w:right w:val="single" w:color="auto" w:sz="4" w:space="0"/>
            </w:tcBorders>
            <w:noWrap w:val="0"/>
            <w:vAlign w:val="top"/>
          </w:tcPr>
          <w:p w14:paraId="4BE70976">
            <w:pPr>
              <w:pStyle w:val="19"/>
              <w:ind w:left="0" w:leftChars="0" w:firstLine="0" w:firstLineChars="0"/>
            </w:pPr>
          </w:p>
        </w:tc>
      </w:tr>
      <w:tr w14:paraId="1FB6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72" w:type="dxa"/>
            <w:tcBorders>
              <w:top w:val="single" w:color="auto" w:sz="4" w:space="0"/>
              <w:left w:val="single" w:color="auto" w:sz="4" w:space="0"/>
              <w:bottom w:val="single" w:color="auto" w:sz="4" w:space="0"/>
              <w:right w:val="single" w:color="auto" w:sz="4" w:space="0"/>
            </w:tcBorders>
            <w:noWrap w:val="0"/>
            <w:vAlign w:val="center"/>
          </w:tcPr>
          <w:p w14:paraId="426D56F9">
            <w:pPr>
              <w:pStyle w:val="12"/>
            </w:pPr>
            <w:r>
              <w:t>响应单位联系人/响应人Контактное лицо ответственного лица / организации</w:t>
            </w:r>
          </w:p>
        </w:tc>
        <w:tc>
          <w:tcPr>
            <w:tcW w:w="5591" w:type="dxa"/>
            <w:tcBorders>
              <w:top w:val="single" w:color="auto" w:sz="4" w:space="0"/>
              <w:left w:val="nil"/>
              <w:bottom w:val="single" w:color="auto" w:sz="4" w:space="0"/>
              <w:right w:val="single" w:color="auto" w:sz="4" w:space="0"/>
            </w:tcBorders>
            <w:noWrap w:val="0"/>
            <w:vAlign w:val="top"/>
          </w:tcPr>
          <w:p w14:paraId="6B608D60">
            <w:pPr>
              <w:pStyle w:val="19"/>
              <w:ind w:left="0" w:leftChars="0" w:firstLine="0" w:firstLineChars="0"/>
            </w:pPr>
          </w:p>
        </w:tc>
      </w:tr>
      <w:tr w14:paraId="125C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72" w:type="dxa"/>
            <w:tcBorders>
              <w:top w:val="single" w:color="auto" w:sz="4" w:space="0"/>
              <w:left w:val="single" w:color="auto" w:sz="4" w:space="0"/>
              <w:bottom w:val="single" w:color="auto" w:sz="4" w:space="0"/>
              <w:right w:val="single" w:color="auto" w:sz="4" w:space="0"/>
            </w:tcBorders>
            <w:noWrap w:val="0"/>
            <w:vAlign w:val="center"/>
          </w:tcPr>
          <w:p w14:paraId="19AFD58B">
            <w:pPr>
              <w:pStyle w:val="12"/>
            </w:pPr>
            <w:r>
              <w:t>响应单位联系人/响应人电话Телефон контактного лица ответственного лица / организации</w:t>
            </w:r>
          </w:p>
        </w:tc>
        <w:tc>
          <w:tcPr>
            <w:tcW w:w="5591" w:type="dxa"/>
            <w:tcBorders>
              <w:top w:val="single" w:color="auto" w:sz="4" w:space="0"/>
              <w:left w:val="nil"/>
              <w:bottom w:val="single" w:color="auto" w:sz="4" w:space="0"/>
              <w:right w:val="single" w:color="auto" w:sz="4" w:space="0"/>
            </w:tcBorders>
            <w:noWrap w:val="0"/>
            <w:vAlign w:val="top"/>
          </w:tcPr>
          <w:p w14:paraId="73ED4A63">
            <w:pPr>
              <w:pStyle w:val="19"/>
              <w:ind w:left="0" w:leftChars="0" w:firstLine="0" w:firstLineChars="0"/>
            </w:pPr>
          </w:p>
        </w:tc>
      </w:tr>
      <w:tr w14:paraId="6C7E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72" w:type="dxa"/>
            <w:tcBorders>
              <w:top w:val="single" w:color="auto" w:sz="4" w:space="0"/>
              <w:left w:val="single" w:color="auto" w:sz="4" w:space="0"/>
              <w:bottom w:val="single" w:color="auto" w:sz="4" w:space="0"/>
              <w:right w:val="single" w:color="auto" w:sz="4" w:space="0"/>
            </w:tcBorders>
            <w:noWrap w:val="0"/>
            <w:vAlign w:val="center"/>
          </w:tcPr>
          <w:p w14:paraId="00BFEFBF">
            <w:pPr>
              <w:pStyle w:val="12"/>
            </w:pPr>
            <w:r>
              <w:t>响应单位邮箱Электронная почта ответственного лица / организации</w:t>
            </w:r>
          </w:p>
        </w:tc>
        <w:tc>
          <w:tcPr>
            <w:tcW w:w="5591" w:type="dxa"/>
            <w:tcBorders>
              <w:top w:val="single" w:color="auto" w:sz="4" w:space="0"/>
              <w:left w:val="nil"/>
              <w:bottom w:val="single" w:color="auto" w:sz="4" w:space="0"/>
              <w:right w:val="single" w:color="auto" w:sz="4" w:space="0"/>
            </w:tcBorders>
            <w:noWrap w:val="0"/>
            <w:vAlign w:val="top"/>
          </w:tcPr>
          <w:p w14:paraId="3498CDD7">
            <w:pPr>
              <w:pStyle w:val="19"/>
              <w:ind w:left="0" w:leftChars="0" w:firstLine="0" w:firstLineChars="0"/>
            </w:pPr>
          </w:p>
        </w:tc>
      </w:tr>
      <w:tr w14:paraId="422C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3" w:type="dxa"/>
            <w:gridSpan w:val="2"/>
            <w:tcBorders>
              <w:top w:val="single" w:color="auto" w:sz="4" w:space="0"/>
              <w:left w:val="single" w:color="auto" w:sz="4" w:space="0"/>
              <w:bottom w:val="single" w:color="auto" w:sz="4" w:space="0"/>
              <w:right w:val="single" w:color="auto" w:sz="4" w:space="0"/>
            </w:tcBorders>
            <w:noWrap w:val="0"/>
            <w:vAlign w:val="bottom"/>
          </w:tcPr>
          <w:p w14:paraId="21A7D82A">
            <w:pPr>
              <w:pStyle w:val="19"/>
              <w:spacing w:after="0" w:line="240" w:lineRule="auto"/>
              <w:ind w:left="0" w:leftChars="0" w:firstLine="0" w:firstLineChars="0"/>
              <w:rPr>
                <w:rFonts w:hint="default" w:ascii="Times New Roman" w:hAnsi="Times New Roman"/>
              </w:rPr>
            </w:pPr>
          </w:p>
          <w:p w14:paraId="6FD99DA9">
            <w:pPr>
              <w:pStyle w:val="12"/>
              <w:jc w:val="right"/>
            </w:pPr>
            <w:r>
              <w:t xml:space="preserve">                                                     响应单位:（盖章）Ответственное лицо: (печатка организации)</w:t>
            </w:r>
          </w:p>
          <w:p w14:paraId="5927D6D9">
            <w:pPr>
              <w:pStyle w:val="12"/>
              <w:jc w:val="right"/>
              <w:rPr>
                <w:b/>
                <w:bCs/>
                <w:sz w:val="32"/>
                <w:szCs w:val="32"/>
              </w:rPr>
            </w:pPr>
            <w:r>
              <w:t xml:space="preserve">                                           日 期：</w:t>
            </w:r>
            <w:r>
              <w:rPr>
                <w:rStyle w:val="23"/>
              </w:rPr>
              <w:t>Дата</w:t>
            </w:r>
            <w:r>
              <w:t>:</w:t>
            </w:r>
          </w:p>
        </w:tc>
      </w:tr>
    </w:tbl>
    <w:p w14:paraId="5B604DCA">
      <w:pPr>
        <w:pStyle w:val="2"/>
        <w:adjustRightInd w:val="0"/>
        <w:snapToGrid w:val="0"/>
        <w:spacing w:before="145" w:beforeLines="50" w:after="0" w:line="360" w:lineRule="auto"/>
        <w:ind w:left="0"/>
        <w:jc w:val="center"/>
        <w:rPr>
          <w:rFonts w:eastAsia="黑体"/>
          <w:b w:val="0"/>
          <w:kern w:val="44"/>
          <w:sz w:val="36"/>
          <w:szCs w:val="36"/>
        </w:rPr>
      </w:pPr>
      <w:r>
        <w:rPr>
          <w:rFonts w:hint="eastAsia" w:eastAsia="黑体"/>
          <w:b w:val="0"/>
          <w:kern w:val="44"/>
          <w:sz w:val="36"/>
          <w:szCs w:val="36"/>
        </w:rPr>
        <w:t>第二章 供应商须知</w:t>
      </w:r>
      <w:bookmarkEnd w:id="1"/>
      <w:bookmarkEnd w:id="2"/>
      <w:bookmarkEnd w:id="3"/>
    </w:p>
    <w:p w14:paraId="4777C857">
      <w:pPr>
        <w:pStyle w:val="4"/>
        <w:keepNext w:val="0"/>
        <w:keepLines w:val="0"/>
        <w:adjustRightInd w:val="0"/>
        <w:snapToGrid w:val="0"/>
        <w:spacing w:before="145" w:after="0"/>
        <w:rPr>
          <w:rFonts w:ascii="Times New Roman" w:hAnsi="Times New Roman" w:eastAsia="宋体" w:cs="Times New Roman"/>
          <w:bCs w:val="0"/>
          <w:sz w:val="24"/>
          <w:szCs w:val="24"/>
        </w:rPr>
      </w:pPr>
      <w:bookmarkStart w:id="25" w:name="_Toc152045530"/>
      <w:bookmarkStart w:id="26" w:name="_Toc152042306"/>
      <w:bookmarkStart w:id="27" w:name="_Toc339543547"/>
      <w:bookmarkStart w:id="28" w:name="_Toc354405041"/>
      <w:bookmarkStart w:id="29" w:name="_Toc523252108"/>
      <w:bookmarkStart w:id="30" w:name="_Toc357419339"/>
      <w:bookmarkStart w:id="31" w:name="_Toc144974498"/>
      <w:r>
        <w:rPr>
          <w:rFonts w:hint="eastAsia" w:ascii="Times New Roman" w:hAnsi="Times New Roman" w:eastAsia="宋体" w:cs="Times New Roman"/>
          <w:bCs w:val="0"/>
          <w:sz w:val="24"/>
          <w:szCs w:val="24"/>
        </w:rPr>
        <w:t>1.1 项目概况</w:t>
      </w:r>
      <w:bookmarkEnd w:id="25"/>
      <w:bookmarkEnd w:id="26"/>
      <w:bookmarkEnd w:id="27"/>
      <w:bookmarkEnd w:id="28"/>
      <w:bookmarkEnd w:id="29"/>
      <w:bookmarkEnd w:id="30"/>
      <w:bookmarkEnd w:id="31"/>
      <w:r>
        <w:rPr>
          <w:rFonts w:hint="eastAsia" w:ascii="Times New Roman" w:hAnsi="Times New Roman" w:eastAsia="宋体" w:cs="Times New Roman"/>
          <w:bCs w:val="0"/>
          <w:sz w:val="24"/>
          <w:szCs w:val="24"/>
        </w:rPr>
        <w:t>：详见采购公告。</w:t>
      </w:r>
    </w:p>
    <w:p w14:paraId="0CF5A02B">
      <w:pPr>
        <w:pStyle w:val="4"/>
        <w:keepNext w:val="0"/>
        <w:keepLines w:val="0"/>
        <w:adjustRightInd w:val="0"/>
        <w:snapToGrid w:val="0"/>
        <w:spacing w:before="145" w:after="0"/>
        <w:rPr>
          <w:rFonts w:ascii="Times New Roman" w:hAnsi="Times New Roman" w:eastAsia="宋体" w:cs="Times New Roman"/>
          <w:bCs w:val="0"/>
          <w:sz w:val="24"/>
          <w:szCs w:val="24"/>
          <w:lang w:val="ru-RU"/>
        </w:rPr>
      </w:pPr>
      <w:r>
        <w:rPr>
          <w:rFonts w:ascii="Times New Roman" w:hAnsi="Times New Roman" w:cs="Times New Roman"/>
          <w:b/>
          <w:bCs w:val="0"/>
          <w:sz w:val="24"/>
          <w:szCs w:val="24"/>
          <w:lang w:val="ru-RU"/>
        </w:rPr>
        <w:t>Обзор проекта:</w:t>
      </w:r>
      <w:r>
        <w:rPr>
          <w:rFonts w:ascii="Times New Roman" w:hAnsi="Times New Roman" w:cs="Times New Roman"/>
          <w:sz w:val="24"/>
          <w:szCs w:val="24"/>
          <w:lang w:val="ru-RU"/>
        </w:rPr>
        <w:t xml:space="preserve"> См. объявление о закупке.</w:t>
      </w:r>
    </w:p>
    <w:p w14:paraId="6BD57C39">
      <w:pPr>
        <w:pStyle w:val="4"/>
        <w:keepNext w:val="0"/>
        <w:keepLines w:val="0"/>
        <w:adjustRightInd w:val="0"/>
        <w:snapToGrid w:val="0"/>
        <w:spacing w:before="145" w:after="0"/>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Cs w:val="0"/>
          <w:sz w:val="24"/>
          <w:szCs w:val="24"/>
        </w:rPr>
        <w:t>1.2 采购人：</w:t>
      </w:r>
      <w:r>
        <w:rPr>
          <w:rFonts w:hint="eastAsia" w:ascii="Times New Roman" w:hAnsi="Times New Roman" w:eastAsia="宋体" w:cs="Times New Roman"/>
          <w:b/>
          <w:bCs w:val="0"/>
          <w:sz w:val="24"/>
          <w:szCs w:val="24"/>
          <w:lang w:val="en-US" w:eastAsia="zh-CN"/>
        </w:rPr>
        <w:t>中国华电科公告集团有限公司哈萨分公司</w:t>
      </w:r>
    </w:p>
    <w:p w14:paraId="2605C901">
      <w:pPr>
        <w:keepNext w:val="0"/>
        <w:keepLines w:val="0"/>
        <w:adjustRightInd w:val="0"/>
        <w:snapToGrid w:val="0"/>
        <w:spacing w:before="156" w:after="156" w:afterLines="50"/>
        <w:ind w:firstLine="482" w:firstLineChars="200"/>
        <w:jc w:val="left"/>
        <w:rPr>
          <w:rFonts w:ascii="Times New Roman" w:hAnsi="Times New Roman" w:eastAsia="宋体" w:cs="Times New Roman"/>
          <w:bCs w:val="0"/>
          <w:sz w:val="24"/>
          <w:szCs w:val="24"/>
          <w:lang w:val="ru-RU"/>
        </w:rPr>
      </w:pPr>
      <w:r>
        <w:rPr>
          <w:rFonts w:ascii="Times New Roman" w:hAnsi="Times New Roman" w:eastAsia="宋体" w:cs="Times New Roman"/>
          <w:b/>
          <w:bCs w:val="0"/>
          <w:sz w:val="24"/>
          <w:szCs w:val="24"/>
          <w:lang w:val="ru-RU"/>
        </w:rPr>
        <w:t>Заказчик</w:t>
      </w:r>
      <w:r>
        <w:rPr>
          <w:rFonts w:ascii="Times New Roman" w:hAnsi="Times New Roman" w:eastAsia="宋体" w:cs="Times New Roman"/>
          <w:bCs w:val="0"/>
          <w:sz w:val="24"/>
          <w:szCs w:val="24"/>
          <w:lang w:val="ru-RU"/>
        </w:rPr>
        <w:t xml:space="preserve">: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Казахстанский филиал Корпорации</w:t>
      </w:r>
      <w:r>
        <w:rPr>
          <w:rFonts w:hint="eastAsia" w:ascii="Times New Roman" w:hAnsi="Times New Roman" w:eastAsia="宋体" w:cs="Times New Roman"/>
          <w:i w:val="0"/>
          <w:iCs w:val="0"/>
          <w:caps w:val="0"/>
          <w:color w:val="000000" w:themeColor="text1"/>
          <w:spacing w:val="0"/>
          <w:sz w:val="24"/>
          <w:szCs w:val="24"/>
          <w:shd w:val="clear" w:fill="FFFFFF"/>
          <w:lang w:val="en-US" w:eastAsia="zh-CN"/>
          <w14:textFill>
            <w14:solidFill>
              <w14:schemeClr w14:val="tx1"/>
            </w14:solidFill>
          </w14:textFill>
        </w:rPr>
        <w:t xml:space="preserve">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«China Huadian Engineering Co., Ltd.»</w:t>
      </w:r>
      <w:r>
        <w:rPr>
          <w:rFonts w:ascii="Times New Roman" w:hAnsi="Times New Roman" w:eastAsia="宋体" w:cs="Times New Roman"/>
          <w:bCs w:val="0"/>
          <w:sz w:val="24"/>
          <w:szCs w:val="24"/>
          <w:lang w:val="ru-RU"/>
        </w:rPr>
        <w:t>.</w:t>
      </w:r>
    </w:p>
    <w:p w14:paraId="79C93E85">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1.3 采购项目：哈萨克斯坦阿克套燃机项目</w:t>
      </w:r>
      <w:r>
        <w:rPr>
          <w:rFonts w:hint="eastAsia" w:ascii="Times New Roman" w:hAnsi="Times New Roman" w:eastAsia="宋体" w:cs="Times New Roman"/>
          <w:bCs w:val="0"/>
          <w:sz w:val="24"/>
          <w:szCs w:val="24"/>
          <w:lang w:val="en-US" w:eastAsia="zh-CN"/>
        </w:rPr>
        <w:t>会计代理</w:t>
      </w:r>
      <w:r>
        <w:rPr>
          <w:rFonts w:hint="eastAsia" w:ascii="Times New Roman" w:hAnsi="Times New Roman" w:eastAsia="宋体" w:cs="Times New Roman"/>
          <w:bCs w:val="0"/>
          <w:sz w:val="24"/>
          <w:szCs w:val="24"/>
        </w:rPr>
        <w:t>服务</w:t>
      </w:r>
    </w:p>
    <w:p w14:paraId="086D93D8">
      <w:pPr>
        <w:pStyle w:val="12"/>
        <w:rPr>
          <w:rFonts w:hint="default" w:ascii="Times New Roman" w:hAnsi="Times New Roman" w:eastAsia="宋体" w:cs="Times New Roman"/>
          <w:sz w:val="24"/>
          <w:szCs w:val="24"/>
          <w:lang w:eastAsia="zh-CN"/>
        </w:rPr>
      </w:pPr>
      <w:r>
        <w:rPr>
          <w:rFonts w:hint="default" w:ascii="Times New Roman" w:hAnsi="Times New Roman" w:cs="Times New Roman"/>
          <w:b/>
          <w:bCs/>
          <w:sz w:val="24"/>
          <w:szCs w:val="24"/>
        </w:rPr>
        <w:t xml:space="preserve">Проект закупки: </w:t>
      </w:r>
      <w:r>
        <w:rPr>
          <w:rFonts w:hint="default" w:ascii="Times New Roman" w:hAnsi="Times New Roman" w:eastAsia="宋体" w:cs="Times New Roman"/>
          <w:b w:val="0"/>
          <w:lang w:val="en-US" w:eastAsia="zh-CN"/>
        </w:rPr>
        <w:t>Y</w:t>
      </w:r>
      <w:r>
        <w:rPr>
          <w:rFonts w:ascii="Times New Roman" w:hAnsi="Times New Roman" w:eastAsia="宋体" w:cs="Times New Roman"/>
          <w:b w:val="0"/>
          <w:sz w:val="21"/>
          <w:szCs w:val="20"/>
          <w:lang w:val="ru-RU"/>
        </w:rPr>
        <w:t>слуг по ведению бухгалтерского учета</w:t>
      </w:r>
      <w:r>
        <w:rPr>
          <w:rFonts w:hint="default" w:ascii="Times New Roman" w:hAnsi="Times New Roman" w:cs="Times New Roman"/>
          <w:sz w:val="24"/>
          <w:szCs w:val="24"/>
          <w:lang w:val="ru-RU"/>
        </w:rPr>
        <w:t xml:space="preserve"> строительства газотурбинной установки в Актау</w:t>
      </w:r>
      <w:r>
        <w:rPr>
          <w:rFonts w:hint="default" w:ascii="Times New Roman" w:hAnsi="Times New Roman" w:cs="Times New Roman"/>
          <w:sz w:val="24"/>
          <w:szCs w:val="24"/>
          <w:lang w:val="ru-RU" w:eastAsia="zh-CN"/>
        </w:rPr>
        <w:t>。</w:t>
      </w:r>
    </w:p>
    <w:p w14:paraId="26C1DED8">
      <w:pPr>
        <w:pStyle w:val="12"/>
        <w:rPr>
          <w:sz w:val="24"/>
          <w:szCs w:val="24"/>
        </w:rPr>
      </w:pPr>
      <w:r>
        <w:rPr>
          <w:sz w:val="24"/>
          <w:szCs w:val="24"/>
        </w:rPr>
        <w:t>1.</w:t>
      </w:r>
      <w:bookmarkStart w:id="32" w:name="_Toc152045532"/>
      <w:bookmarkStart w:id="33" w:name="_Toc523252110"/>
      <w:bookmarkStart w:id="34" w:name="_Toc144974500"/>
      <w:bookmarkStart w:id="35" w:name="_Toc354405043"/>
      <w:bookmarkStart w:id="36" w:name="_Toc357419341"/>
      <w:bookmarkStart w:id="37" w:name="_Toc152042308"/>
      <w:bookmarkStart w:id="38" w:name="_Toc339543549"/>
      <w:r>
        <w:rPr>
          <w:sz w:val="24"/>
          <w:szCs w:val="24"/>
        </w:rPr>
        <w:t>4 采购范围及履约期限</w:t>
      </w:r>
      <w:bookmarkEnd w:id="32"/>
      <w:bookmarkEnd w:id="33"/>
      <w:bookmarkEnd w:id="34"/>
      <w:bookmarkEnd w:id="35"/>
      <w:bookmarkEnd w:id="36"/>
      <w:bookmarkEnd w:id="37"/>
      <w:bookmarkEnd w:id="38"/>
      <w:r>
        <w:rPr>
          <w:sz w:val="24"/>
          <w:szCs w:val="24"/>
        </w:rPr>
        <w:t>：详见采购公告。</w:t>
      </w:r>
    </w:p>
    <w:p w14:paraId="0AC46355">
      <w:pPr>
        <w:pStyle w:val="12"/>
        <w:rPr>
          <w:bCs/>
          <w:sz w:val="24"/>
          <w:szCs w:val="24"/>
          <w:lang w:val="ru-RU"/>
        </w:rPr>
      </w:pPr>
      <w:r>
        <w:rPr>
          <w:b/>
          <w:sz w:val="24"/>
          <w:szCs w:val="24"/>
          <w:lang w:val="ru-RU"/>
        </w:rPr>
        <w:t>Объем закупки и срок исполнения</w:t>
      </w:r>
      <w:r>
        <w:rPr>
          <w:sz w:val="24"/>
          <w:szCs w:val="24"/>
          <w:lang w:val="ru-RU"/>
        </w:rPr>
        <w:t>: См. объявление о закупке.</w:t>
      </w:r>
    </w:p>
    <w:p w14:paraId="5F90EAC4">
      <w:pPr>
        <w:pStyle w:val="12"/>
        <w:jc w:val="both"/>
        <w:rPr>
          <w:sz w:val="24"/>
          <w:szCs w:val="24"/>
        </w:rPr>
      </w:pPr>
      <w:r>
        <w:rPr>
          <w:rFonts w:hint="eastAsia"/>
          <w:sz w:val="24"/>
          <w:szCs w:val="24"/>
        </w:rPr>
        <w:t>1.5 供应商资质条件(资格后审)：详见采购公告。</w:t>
      </w:r>
    </w:p>
    <w:p w14:paraId="41226075">
      <w:pPr>
        <w:pStyle w:val="12"/>
        <w:jc w:val="both"/>
        <w:rPr>
          <w:sz w:val="24"/>
          <w:szCs w:val="24"/>
          <w:lang w:val="ru-RU"/>
        </w:rPr>
      </w:pPr>
      <w:r>
        <w:rPr>
          <w:b/>
          <w:bCs/>
          <w:sz w:val="24"/>
          <w:szCs w:val="24"/>
          <w:lang w:val="ru-RU"/>
        </w:rPr>
        <w:t>Требования к квалификации поставщиков (квалификационный отбор после подачи заявки):</w:t>
      </w:r>
      <w:r>
        <w:rPr>
          <w:sz w:val="24"/>
          <w:szCs w:val="24"/>
          <w:lang w:val="ru-RU"/>
        </w:rPr>
        <w:t xml:space="preserve"> См. объявление о закупке.</w:t>
      </w:r>
    </w:p>
    <w:p w14:paraId="1507DADC">
      <w:pPr>
        <w:pStyle w:val="12"/>
        <w:jc w:val="both"/>
        <w:rPr>
          <w:sz w:val="24"/>
          <w:szCs w:val="24"/>
        </w:rPr>
      </w:pPr>
      <w:r>
        <w:rPr>
          <w:rFonts w:hint="eastAsia"/>
          <w:sz w:val="24"/>
          <w:szCs w:val="24"/>
        </w:rPr>
        <w:t>1.6 服务标准和要求：详见第四章 技术要求。</w:t>
      </w:r>
    </w:p>
    <w:p w14:paraId="63140B34">
      <w:pPr>
        <w:pStyle w:val="12"/>
        <w:jc w:val="both"/>
        <w:rPr>
          <w:bCs/>
          <w:sz w:val="24"/>
          <w:szCs w:val="24"/>
          <w:lang w:val="ru-RU"/>
        </w:rPr>
      </w:pPr>
      <w:r>
        <w:rPr>
          <w:b/>
          <w:sz w:val="24"/>
          <w:szCs w:val="24"/>
          <w:lang w:val="ru-RU"/>
        </w:rPr>
        <w:t>Стандарты и требования к обслуживанию</w:t>
      </w:r>
      <w:r>
        <w:rPr>
          <w:sz w:val="24"/>
          <w:szCs w:val="24"/>
          <w:lang w:val="ru-RU"/>
        </w:rPr>
        <w:t>: См. Глава 4 Технические требования.</w:t>
      </w:r>
    </w:p>
    <w:p w14:paraId="2D13D4D8">
      <w:pPr>
        <w:pStyle w:val="4"/>
        <w:keepNext w:val="0"/>
        <w:keepLines w:val="0"/>
        <w:adjustRightInd w:val="0"/>
        <w:snapToGrid w:val="0"/>
        <w:spacing w:before="145" w:after="0"/>
        <w:rPr>
          <w:rFonts w:hint="default" w:ascii="Times New Roman" w:hAnsi="Times New Roman" w:eastAsia="宋体" w:cs="Times New Roman"/>
          <w:bCs w:val="0"/>
          <w:sz w:val="24"/>
          <w:szCs w:val="24"/>
          <w:lang w:val="en-US" w:eastAsia="zh-CN"/>
        </w:rPr>
      </w:pPr>
      <w:r>
        <w:rPr>
          <w:rFonts w:hint="eastAsia" w:ascii="Times New Roman" w:hAnsi="Times New Roman" w:eastAsia="宋体" w:cs="Times New Roman"/>
          <w:bCs w:val="0"/>
          <w:sz w:val="24"/>
          <w:szCs w:val="24"/>
        </w:rPr>
        <w:t>1.7 采购方式：</w:t>
      </w:r>
      <w:r>
        <w:rPr>
          <w:rFonts w:hint="eastAsia" w:ascii="Times New Roman" w:hAnsi="Times New Roman" w:eastAsia="宋体" w:cs="Times New Roman"/>
          <w:bCs w:val="0"/>
          <w:sz w:val="24"/>
          <w:szCs w:val="24"/>
          <w:lang w:val="en-US" w:eastAsia="zh-CN"/>
        </w:rPr>
        <w:t>询比采购</w:t>
      </w:r>
    </w:p>
    <w:p w14:paraId="76E8C519">
      <w:pPr>
        <w:rPr>
          <w:rFonts w:hint="eastAsia" w:eastAsia="宋体"/>
          <w:lang w:val="en-US" w:eastAsia="zh-CN"/>
        </w:rPr>
      </w:pPr>
      <w:r>
        <w:rPr>
          <w:rStyle w:val="23"/>
        </w:rPr>
        <w:t>Метод закупки</w:t>
      </w:r>
      <w:r>
        <w:t xml:space="preserve">: </w:t>
      </w:r>
      <w:r>
        <w:rPr>
          <w:rFonts w:hint="default" w:ascii="Times New Roman" w:hAnsi="Times New Roman" w:eastAsia="宋体" w:cs="Times New Roman"/>
          <w:sz w:val="24"/>
          <w:szCs w:val="24"/>
          <w:lang w:val="ru-RU" w:eastAsia="zh-CN"/>
        </w:rPr>
        <w:t>Запрос, сравнение цен и покупка</w:t>
      </w:r>
      <w:r>
        <w:t>.</w:t>
      </w:r>
      <w:r>
        <w:rPr>
          <w:rFonts w:hint="eastAsia"/>
          <w:lang w:val="en-US" w:eastAsia="zh-CN"/>
        </w:rPr>
        <w:t>.</w:t>
      </w:r>
    </w:p>
    <w:p w14:paraId="7BAF2039">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1.8 报价方式增值税税：按项目所在国增值税法规，填报适用本项目的增值税率。</w:t>
      </w:r>
    </w:p>
    <w:p w14:paraId="5E267B5D">
      <w:pPr>
        <w:rPr>
          <w:lang w:val="ru-RU"/>
        </w:rPr>
      </w:pPr>
      <w:r>
        <w:rPr>
          <w:rStyle w:val="23"/>
          <w:lang w:val="ru-RU"/>
        </w:rPr>
        <w:t>Метод указания налога на добавленную стоимость</w:t>
      </w:r>
      <w:r>
        <w:rPr>
          <w:lang w:val="ru-RU"/>
        </w:rPr>
        <w:t>: Заполнить ставку НДС, применимую для данного проекта, в соответствии с законодательством о НДС страны проекта.</w:t>
      </w:r>
    </w:p>
    <w:p w14:paraId="16C718B0">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1.9 加密要求：电子响应文件用设置密码。</w:t>
      </w:r>
    </w:p>
    <w:p w14:paraId="375B18EE">
      <w:pPr>
        <w:rPr>
          <w:lang w:val="ru-RU"/>
        </w:rPr>
      </w:pPr>
      <w:r>
        <w:rPr>
          <w:rStyle w:val="23"/>
          <w:lang w:val="ru-RU"/>
        </w:rPr>
        <w:t>Требования к защите откликов</w:t>
      </w:r>
      <w:r>
        <w:rPr>
          <w:lang w:val="ru-RU"/>
        </w:rPr>
        <w:t>: Электронные отклики должны быть защищены паролем.</w:t>
      </w:r>
    </w:p>
    <w:p w14:paraId="796406A6">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1.10 报价开启时间：同报价截止时间。</w:t>
      </w:r>
    </w:p>
    <w:p w14:paraId="1FDD5885">
      <w:pPr>
        <w:rPr>
          <w:lang w:val="ru-RU"/>
        </w:rPr>
      </w:pPr>
      <w:r>
        <w:rPr>
          <w:b/>
          <w:bCs/>
          <w:lang w:val="ru-RU"/>
        </w:rPr>
        <w:t>Время открытия предложений</w:t>
      </w:r>
      <w:r>
        <w:rPr>
          <w:lang w:val="ru-RU"/>
        </w:rPr>
        <w:t>: Совпадает с временем окончания подачи предложений.</w:t>
      </w:r>
    </w:p>
    <w:p w14:paraId="66547A10">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1.11 报价开启地点：线上。</w:t>
      </w:r>
    </w:p>
    <w:p w14:paraId="4BA2E0CD">
      <w:r>
        <w:rPr>
          <w:rStyle w:val="23"/>
        </w:rPr>
        <w:t>Место открытия предложений</w:t>
      </w:r>
      <w:r>
        <w:t>: Онлайн.</w:t>
      </w:r>
    </w:p>
    <w:p w14:paraId="543E1FB9">
      <w:pPr>
        <w:pStyle w:val="4"/>
        <w:keepNext w:val="0"/>
        <w:keepLines w:val="0"/>
        <w:adjustRightInd w:val="0"/>
        <w:snapToGrid w:val="0"/>
        <w:spacing w:before="145" w:after="0"/>
        <w:rPr>
          <w:rFonts w:asciiTheme="minorEastAsia" w:hAnsiTheme="minorEastAsia" w:eastAsiaTheme="minorEastAsia" w:cstheme="minorEastAsia"/>
          <w:bCs w:val="0"/>
          <w:szCs w:val="28"/>
        </w:rPr>
      </w:pPr>
      <w:r>
        <w:rPr>
          <w:rFonts w:hint="eastAsia" w:ascii="Times New Roman" w:hAnsi="Times New Roman" w:eastAsia="宋体" w:cs="Times New Roman"/>
          <w:bCs w:val="0"/>
          <w:sz w:val="24"/>
          <w:szCs w:val="24"/>
        </w:rPr>
        <w:t xml:space="preserve">1.12 </w:t>
      </w:r>
      <w:r>
        <w:rPr>
          <w:rFonts w:hint="eastAsia" w:asciiTheme="minorEastAsia" w:hAnsiTheme="minorEastAsia" w:eastAsiaTheme="minorEastAsia" w:cstheme="minorEastAsia"/>
          <w:bCs w:val="0"/>
          <w:szCs w:val="28"/>
        </w:rPr>
        <w:t>响应文件的编制：</w:t>
      </w:r>
    </w:p>
    <w:p w14:paraId="18662D37">
      <w:r>
        <w:rPr>
          <w:b/>
          <w:bCs/>
        </w:rPr>
        <w:t>Подготовка откликов</w:t>
      </w:r>
      <w:r>
        <w:t>:</w:t>
      </w:r>
    </w:p>
    <w:p w14:paraId="4B1A2B5A">
      <w:pPr>
        <w:pStyle w:val="4"/>
        <w:keepNext w:val="0"/>
        <w:keepLines w:val="0"/>
        <w:adjustRightInd w:val="0"/>
        <w:snapToGrid w:val="0"/>
        <w:spacing w:before="145" w:after="0"/>
        <w:rPr>
          <w:rFonts w:hint="eastAsia" w:ascii="Times New Roman" w:hAnsi="Times New Roman" w:eastAsia="宋体" w:cs="Times New Roman"/>
          <w:bCs w:val="0"/>
          <w:sz w:val="24"/>
          <w:szCs w:val="24"/>
        </w:rPr>
      </w:pPr>
      <w:r>
        <w:rPr>
          <w:rFonts w:hint="eastAsia" w:ascii="Times New Roman" w:hAnsi="Times New Roman" w:eastAsia="宋体" w:cs="Times New Roman"/>
          <w:bCs w:val="0"/>
          <w:sz w:val="24"/>
          <w:szCs w:val="24"/>
          <w:lang w:eastAsia="zh-CN"/>
        </w:rPr>
        <w:t>（</w:t>
      </w:r>
      <w:r>
        <w:rPr>
          <w:rFonts w:hint="eastAsia" w:ascii="Times New Roman" w:hAnsi="Times New Roman" w:eastAsia="宋体" w:cs="Times New Roman"/>
          <w:bCs w:val="0"/>
          <w:sz w:val="24"/>
          <w:szCs w:val="24"/>
          <w:lang w:val="en-US" w:eastAsia="zh-CN"/>
        </w:rPr>
        <w:t>1）</w:t>
      </w:r>
      <w:r>
        <w:rPr>
          <w:rFonts w:hint="eastAsia" w:ascii="Times New Roman" w:hAnsi="Times New Roman" w:eastAsia="宋体" w:cs="Times New Roman"/>
          <w:bCs w:val="0"/>
          <w:sz w:val="24"/>
          <w:szCs w:val="24"/>
        </w:rPr>
        <w:t>响应文件中所有文字或图表等必须清晰可辨，关键内容不可辨认或难以辨认的，评审小组有权以相关响应内容未提供处理。</w:t>
      </w:r>
    </w:p>
    <w:p w14:paraId="06C2C17F">
      <w:pPr>
        <w:rPr>
          <w:lang w:val="ru-RU"/>
        </w:rPr>
      </w:pPr>
      <w:r>
        <w:rPr>
          <w:lang w:val="ru-RU"/>
        </w:rPr>
        <w:tab/>
      </w:r>
      <w:r>
        <w:rPr>
          <w:lang w:val="ru-RU"/>
        </w:rPr>
        <w:t>Все текстовые или графические материалы в отклике должны быть четкими и читаемыми; если ключевая информация неразборчива или трудночитаема, комиссия имеет право считать данную информацию не представленной.</w:t>
      </w:r>
    </w:p>
    <w:p w14:paraId="3BBAC0BC">
      <w:pPr>
        <w:pStyle w:val="12"/>
        <w:rPr>
          <w:bCs/>
          <w:sz w:val="20"/>
          <w:lang w:val="ru-RU"/>
        </w:rPr>
      </w:pPr>
      <w:r>
        <w:rPr>
          <w:rFonts w:hint="eastAsia"/>
          <w:sz w:val="24"/>
          <w:szCs w:val="24"/>
        </w:rPr>
        <w:t>（2）按照采购文件“第五章 供应商响应文件格式”要求编制</w:t>
      </w:r>
      <w:r>
        <w:rPr>
          <w:rFonts w:hint="eastAsia" w:ascii="Times New Roman" w:hAnsi="Times New Roman" w:cs="Times New Roman"/>
          <w:sz w:val="24"/>
          <w:szCs w:val="24"/>
        </w:rPr>
        <w:t>，如有必要，可以增加附页，作为响应文件的组成部分。</w:t>
      </w:r>
      <w:r>
        <w:rPr>
          <w:rFonts w:ascii="Times New Roman" w:hAnsi="Times New Roman" w:eastAsia="宋体" w:cs="Times New Roman"/>
          <w:kern w:val="2"/>
          <w:sz w:val="21"/>
          <w:szCs w:val="22"/>
          <w:lang w:val="ru-RU" w:eastAsia="zh-CN" w:bidi="ar-SA"/>
        </w:rPr>
        <w:t>Отклик должен быть подготовлен в соответствии с требованиями Глава 5 "Формат отклика поставщика" закупочных документов; при необходимости можно добавить дополнительные страницы, которые будут частью отклика.</w:t>
      </w:r>
    </w:p>
    <w:p w14:paraId="554E958F">
      <w:pPr>
        <w:pStyle w:val="4"/>
        <w:keepNext w:val="0"/>
        <w:keepLines w:val="0"/>
        <w:adjustRightInd w:val="0"/>
        <w:snapToGrid w:val="0"/>
        <w:spacing w:before="145" w:after="0"/>
        <w:rPr>
          <w:rFonts w:ascii="Times New Roman" w:hAnsi="Times New Roman" w:cs="Times New Roman" w:eastAsiaTheme="minorEastAsia"/>
          <w:szCs w:val="24"/>
          <w:lang w:val="ru-RU"/>
        </w:rPr>
      </w:pPr>
      <w:r>
        <w:rPr>
          <w:rFonts w:hint="eastAsia" w:asciiTheme="minorEastAsia" w:hAnsiTheme="minorEastAsia" w:eastAsiaTheme="minorEastAsia" w:cstheme="minorEastAsia"/>
          <w:bCs w:val="0"/>
          <w:szCs w:val="28"/>
        </w:rPr>
        <w:t>（3）</w:t>
      </w:r>
      <w:r>
        <w:rPr>
          <w:rFonts w:hint="eastAsia" w:ascii="Times New Roman" w:hAnsi="Times New Roman" w:eastAsia="宋体" w:cs="Times New Roman"/>
          <w:bCs w:val="0"/>
          <w:kern w:val="2"/>
          <w:sz w:val="24"/>
          <w:szCs w:val="24"/>
          <w:lang w:val="en-US" w:eastAsia="zh-CN" w:bidi="ar-SA"/>
        </w:rPr>
        <w:t xml:space="preserve"> 以上所有文件对同一响应内容的描述必须相同，否则，评审小组不对因此导致的评审偏差负责。</w:t>
      </w:r>
      <w:r>
        <w:rPr>
          <w:rFonts w:ascii="Times New Roman" w:hAnsi="Times New Roman" w:eastAsia="宋体" w:cs="Times New Roman"/>
          <w:bCs w:val="0"/>
          <w:kern w:val="2"/>
          <w:sz w:val="21"/>
          <w:szCs w:val="22"/>
          <w:lang w:val="ru-RU" w:eastAsia="zh-CN" w:bidi="ar-SA"/>
        </w:rPr>
        <w:t>Все документы, относящиеся к одному отклику, должны быть согласованы, если они не совпадают, комиссия не несет ответственности за возможные расхождения в оценке.</w:t>
      </w:r>
    </w:p>
    <w:p w14:paraId="634B788E">
      <w:pPr>
        <w:adjustRightInd w:val="0"/>
        <w:snapToGrid w:val="0"/>
        <w:spacing w:after="0" w:line="360" w:lineRule="auto"/>
        <w:rPr>
          <w:rFonts w:eastAsiaTheme="minorEastAsia"/>
          <w:szCs w:val="24"/>
          <w:lang w:val="ru-RU"/>
        </w:rPr>
      </w:pPr>
      <w:r>
        <w:rPr>
          <w:rFonts w:hint="eastAsia" w:ascii="Times New Roman" w:hAnsi="Times New Roman" w:eastAsia="宋体" w:cs="Times New Roman"/>
          <w:bCs w:val="0"/>
          <w:kern w:val="2"/>
          <w:sz w:val="24"/>
          <w:szCs w:val="24"/>
          <w:lang w:val="en-US" w:eastAsia="zh-CN" w:bidi="ar-SA"/>
        </w:rPr>
        <w:t>（4）响应文件在满足采购文件实质性要求的基础上，可以提出比采购文件要求更有利于采购人的承诺。</w:t>
      </w:r>
      <w:r>
        <w:rPr>
          <w:rFonts w:ascii="Times New Roman" w:hAnsi="Times New Roman" w:eastAsia="宋体" w:cs="Times New Roman"/>
          <w:bCs w:val="0"/>
          <w:kern w:val="2"/>
          <w:sz w:val="21"/>
          <w:szCs w:val="22"/>
          <w:lang w:val="ru-RU" w:eastAsia="zh-CN" w:bidi="ar-SA"/>
        </w:rPr>
        <w:t>Отклики могут содержать предложения, которые более выгодны для заказчика, чем требования закупочных документов.</w:t>
      </w:r>
    </w:p>
    <w:p w14:paraId="1086A32E">
      <w:pPr>
        <w:pStyle w:val="12"/>
        <w:jc w:val="both"/>
        <w:rPr>
          <w:bCs/>
          <w:sz w:val="20"/>
          <w:lang w:val="ru-RU"/>
        </w:rPr>
      </w:pPr>
      <w:r>
        <w:rPr>
          <w:rFonts w:hint="eastAsia" w:ascii="Times New Roman" w:hAnsi="Times New Roman" w:eastAsia="宋体" w:cs="Times New Roman"/>
          <w:bCs w:val="0"/>
          <w:kern w:val="2"/>
          <w:sz w:val="24"/>
          <w:szCs w:val="24"/>
          <w:lang w:val="en-US" w:eastAsia="zh-CN" w:bidi="ar-SA"/>
        </w:rPr>
        <w:t>（5）供应商所递交的响应文件 (包括有关资料、澄清) 应真实可信，不存在虚假 (包括隐瞒) 信息，否则按废标处理。合同签订后，发现供应商存在此情况时，采购人有权终止合同，相应责任及损失由供应商承担。</w:t>
      </w:r>
      <w:r>
        <w:rPr>
          <w:rFonts w:ascii="Times New Roman" w:hAnsi="Times New Roman" w:eastAsia="宋体" w:cs="Times New Roman"/>
          <w:bCs w:val="0"/>
          <w:kern w:val="2"/>
          <w:sz w:val="21"/>
          <w:szCs w:val="22"/>
          <w:lang w:val="ru-RU" w:eastAsia="zh-CN" w:bidi="ar-SA"/>
        </w:rPr>
        <w:t>Поставщик должен подать достоверные и правдивые отклики (включая сопроводительные документы и разъяснения); если информация окажется ложной (включая сокрытие фактов), отклик будет отклонен. После подписания контракта заказчик имеет право его расторгнуть, а поставщик несет ответственность за убытки и ущерб.</w:t>
      </w:r>
    </w:p>
    <w:p w14:paraId="2313472F">
      <w:pPr>
        <w:pStyle w:val="4"/>
        <w:keepNext w:val="0"/>
        <w:keepLines w:val="0"/>
        <w:adjustRightInd w:val="0"/>
        <w:snapToGrid w:val="0"/>
        <w:spacing w:before="145" w:after="0"/>
        <w:rPr>
          <w:rFonts w:ascii="Times New Roman" w:hAnsi="Times New Roman" w:eastAsia="宋体" w:cs="Times New Roman"/>
          <w:bCs w:val="0"/>
          <w:sz w:val="24"/>
          <w:szCs w:val="24"/>
          <w:lang w:val="ru-RU"/>
        </w:rPr>
      </w:pPr>
      <w:r>
        <w:rPr>
          <w:rFonts w:hint="eastAsia" w:ascii="Times New Roman" w:hAnsi="Times New Roman" w:eastAsia="宋体" w:cs="Times New Roman"/>
          <w:bCs w:val="0"/>
          <w:sz w:val="24"/>
          <w:szCs w:val="24"/>
        </w:rPr>
        <w:t>1.13异议提出与受理：详见采购公告。</w:t>
      </w:r>
      <w:r>
        <w:rPr>
          <w:rFonts w:ascii="Times New Roman" w:hAnsi="Times New Roman" w:eastAsia="宋体" w:cs="Times New Roman"/>
          <w:b/>
          <w:bCs w:val="0"/>
          <w:sz w:val="24"/>
          <w:szCs w:val="24"/>
          <w:lang w:val="ru-RU"/>
        </w:rPr>
        <w:t>Возражения и их принятие</w:t>
      </w:r>
      <w:r>
        <w:rPr>
          <w:rFonts w:ascii="Times New Roman" w:hAnsi="Times New Roman" w:eastAsia="宋体" w:cs="Times New Roman"/>
          <w:bCs w:val="0"/>
          <w:sz w:val="24"/>
          <w:szCs w:val="24"/>
          <w:lang w:val="ru-RU"/>
        </w:rPr>
        <w:t>: См. объявление о закупке.</w:t>
      </w:r>
    </w:p>
    <w:p w14:paraId="02D7904F">
      <w:pPr>
        <w:adjustRightInd w:val="0"/>
        <w:snapToGrid w:val="0"/>
        <w:spacing w:after="0" w:line="360" w:lineRule="auto"/>
        <w:rPr>
          <w:sz w:val="24"/>
          <w:szCs w:val="24"/>
          <w:lang w:val="ru-RU"/>
        </w:rPr>
      </w:pPr>
      <w:r>
        <w:rPr>
          <w:rFonts w:hint="eastAsia" w:ascii="Times New Roman" w:hAnsi="Times New Roman" w:eastAsia="宋体" w:cs="Times New Roman"/>
          <w:bCs w:val="0"/>
          <w:sz w:val="24"/>
          <w:szCs w:val="24"/>
        </w:rPr>
        <w:t>1.14 开标时间和地点：详见采购公告。</w:t>
      </w:r>
      <w:r>
        <w:rPr>
          <w:b/>
          <w:bCs/>
          <w:sz w:val="24"/>
          <w:szCs w:val="24"/>
          <w:lang w:val="ru-RU"/>
        </w:rPr>
        <w:t>Время и место вскрытия предложений</w:t>
      </w:r>
      <w:r>
        <w:rPr>
          <w:sz w:val="24"/>
          <w:szCs w:val="24"/>
          <w:lang w:val="ru-RU"/>
        </w:rPr>
        <w:t>: См. объявление о закупке.</w:t>
      </w:r>
    </w:p>
    <w:p w14:paraId="238BA4A4">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1.15 评审由采购人依法组建的评审小组负责。评审小组按照</w:t>
      </w:r>
      <w:r>
        <w:rPr>
          <w:rFonts w:hint="eastAsia" w:asciiTheme="minorEastAsia" w:hAnsiTheme="minorEastAsia" w:eastAsiaTheme="minorEastAsia" w:cstheme="minorEastAsia"/>
          <w:kern w:val="0"/>
          <w:sz w:val="24"/>
          <w:szCs w:val="24"/>
          <w:highlight w:val="none"/>
        </w:rPr>
        <w:t>采购人</w:t>
      </w:r>
      <w:r>
        <w:rPr>
          <w:rFonts w:hint="eastAsia" w:ascii="Times New Roman" w:hAnsi="Times New Roman" w:eastAsia="宋体" w:cs="Times New Roman"/>
          <w:bCs w:val="0"/>
          <w:sz w:val="24"/>
          <w:szCs w:val="24"/>
        </w:rPr>
        <w:t>相关制度组建。</w:t>
      </w:r>
      <w:r>
        <w:rPr>
          <w:b/>
          <w:bCs/>
          <w:sz w:val="24"/>
          <w:szCs w:val="24"/>
          <w:lang w:val="ru-RU"/>
        </w:rPr>
        <w:t>Оценка предложений</w:t>
      </w:r>
      <w:r>
        <w:rPr>
          <w:sz w:val="24"/>
          <w:szCs w:val="24"/>
          <w:lang w:val="ru-RU"/>
        </w:rPr>
        <w:t xml:space="preserve"> будет проводиться комиссией, созданной заказчиком в соответствии с законодательством.</w:t>
      </w:r>
    </w:p>
    <w:p w14:paraId="27199E35">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1.16 评审活动遵循公平、公正、科学和择优的原则。</w:t>
      </w:r>
      <w:r>
        <w:rPr>
          <w:b/>
          <w:bCs/>
          <w:sz w:val="24"/>
          <w:szCs w:val="24"/>
          <w:lang w:val="ru-RU"/>
        </w:rPr>
        <w:t>Оценка</w:t>
      </w:r>
      <w:r>
        <w:rPr>
          <w:sz w:val="24"/>
          <w:szCs w:val="24"/>
          <w:lang w:val="ru-RU"/>
        </w:rPr>
        <w:t xml:space="preserve"> будет проводиться по принципам честности, справедливости, научности и наилучшего выбора.</w:t>
      </w:r>
    </w:p>
    <w:p w14:paraId="54B3BD97">
      <w:pPr>
        <w:pStyle w:val="4"/>
        <w:keepNext w:val="0"/>
        <w:keepLines w:val="0"/>
        <w:adjustRightInd w:val="0"/>
        <w:snapToGrid w:val="0"/>
        <w:spacing w:before="145" w:after="0"/>
        <w:rPr>
          <w:rFonts w:ascii="Times New Roman" w:hAnsi="Times New Roman" w:eastAsia="宋体" w:cs="Times New Roman"/>
          <w:bCs w:val="0"/>
          <w:sz w:val="24"/>
          <w:szCs w:val="24"/>
        </w:rPr>
      </w:pPr>
      <w:r>
        <w:rPr>
          <w:rFonts w:hint="eastAsia" w:ascii="Times New Roman" w:hAnsi="Times New Roman" w:eastAsia="宋体" w:cs="Times New Roman"/>
          <w:bCs w:val="0"/>
          <w:sz w:val="24"/>
          <w:szCs w:val="24"/>
        </w:rPr>
        <w:t>1.17 评审小组按照第三章“评审办法”规定的方法、评审因素、标准和程序对响应文件进行评审。</w:t>
      </w:r>
      <w:r>
        <w:rPr>
          <w:b/>
          <w:bCs/>
          <w:sz w:val="24"/>
          <w:szCs w:val="24"/>
          <w:lang w:val="ru-RU"/>
        </w:rPr>
        <w:t>Комиссия</w:t>
      </w:r>
      <w:r>
        <w:rPr>
          <w:sz w:val="24"/>
          <w:szCs w:val="24"/>
          <w:lang w:val="ru-RU"/>
        </w:rPr>
        <w:t xml:space="preserve"> будет оценивать отклики согласно методологии, критериям, стандартам и процедурам, изложенным в Главе 3 "Методика оценки".</w:t>
      </w:r>
    </w:p>
    <w:p w14:paraId="17501121">
      <w:pPr>
        <w:adjustRightInd w:val="0"/>
        <w:snapToGrid w:val="0"/>
        <w:spacing w:after="0" w:line="360" w:lineRule="auto"/>
        <w:rPr>
          <w:sz w:val="24"/>
          <w:szCs w:val="24"/>
          <w:lang w:val="ru-RU"/>
        </w:rPr>
      </w:pPr>
      <w:r>
        <w:rPr>
          <w:rFonts w:hint="eastAsia" w:ascii="Times New Roman" w:hAnsi="Times New Roman" w:eastAsia="宋体" w:cs="Times New Roman"/>
          <w:bCs w:val="0"/>
          <w:sz w:val="24"/>
          <w:szCs w:val="24"/>
        </w:rPr>
        <w:t>1.18 评审完成后，评审小组应当向采购人提交书面评审报告和成交候选人名单。</w:t>
      </w:r>
      <w:r>
        <w:rPr>
          <w:b/>
          <w:bCs/>
          <w:sz w:val="24"/>
          <w:szCs w:val="24"/>
          <w:lang w:val="ru-RU"/>
        </w:rPr>
        <w:t>После завершения оценки</w:t>
      </w:r>
      <w:r>
        <w:rPr>
          <w:sz w:val="24"/>
          <w:szCs w:val="24"/>
          <w:lang w:val="ru-RU"/>
        </w:rPr>
        <w:t xml:space="preserve"> комиссия должна предоставить заказчику письменный отчет об оценке и список предварительных победителей.</w:t>
      </w:r>
    </w:p>
    <w:p w14:paraId="61F2CE72">
      <w:pPr>
        <w:adjustRightInd w:val="0"/>
        <w:snapToGrid w:val="0"/>
        <w:spacing w:after="0" w:line="360" w:lineRule="auto"/>
        <w:rPr>
          <w:sz w:val="24"/>
          <w:szCs w:val="24"/>
          <w:lang w:val="ru-RU"/>
        </w:rPr>
      </w:pPr>
      <w:r>
        <w:rPr>
          <w:rFonts w:hint="eastAsia" w:ascii="Times New Roman" w:hAnsi="Times New Roman" w:eastAsia="宋体" w:cs="Times New Roman"/>
          <w:bCs w:val="0"/>
          <w:sz w:val="24"/>
          <w:szCs w:val="24"/>
        </w:rPr>
        <w:t>1.19 评审小组推荐预成交供应商的个数：1个。</w:t>
      </w:r>
      <w:r>
        <w:rPr>
          <w:b/>
          <w:bCs/>
          <w:sz w:val="24"/>
          <w:szCs w:val="24"/>
          <w:lang w:val="ru-RU"/>
        </w:rPr>
        <w:t>Количество рекомендованных для заключения контракта поставщиков</w:t>
      </w:r>
      <w:r>
        <w:rPr>
          <w:sz w:val="24"/>
          <w:szCs w:val="24"/>
          <w:lang w:val="ru-RU"/>
        </w:rPr>
        <w:t>: 1.</w:t>
      </w:r>
    </w:p>
    <w:p w14:paraId="19C9A92F">
      <w:pPr>
        <w:adjustRightInd w:val="0"/>
        <w:snapToGrid w:val="0"/>
        <w:spacing w:after="0" w:line="360" w:lineRule="auto"/>
        <w:rPr>
          <w:sz w:val="24"/>
          <w:szCs w:val="24"/>
          <w:lang w:val="ru-RU"/>
        </w:rPr>
      </w:pPr>
      <w:r>
        <w:rPr>
          <w:rFonts w:hint="eastAsia" w:ascii="Times New Roman" w:hAnsi="Times New Roman" w:eastAsia="宋体" w:cs="Times New Roman"/>
          <w:bCs w:val="0"/>
          <w:sz w:val="24"/>
          <w:szCs w:val="24"/>
        </w:rPr>
        <w:t>1.20 成交候选人公示：采购人将以书面形式将成交候选人情况通知所有参与供应商。</w:t>
      </w:r>
      <w:r>
        <w:rPr>
          <w:b/>
          <w:bCs/>
          <w:sz w:val="24"/>
          <w:szCs w:val="24"/>
          <w:lang w:val="ru-RU"/>
        </w:rPr>
        <w:t>Объявление победителей</w:t>
      </w:r>
      <w:r>
        <w:rPr>
          <w:sz w:val="24"/>
          <w:szCs w:val="24"/>
          <w:lang w:val="ru-RU"/>
        </w:rPr>
        <w:t>: Заказчик уведомит всех участников тендера о победителях в письменной форме.</w:t>
      </w:r>
    </w:p>
    <w:p w14:paraId="4D0DA5AB">
      <w:pPr>
        <w:adjustRightInd w:val="0"/>
        <w:snapToGrid w:val="0"/>
        <w:spacing w:after="0" w:line="360" w:lineRule="auto"/>
        <w:rPr>
          <w:sz w:val="24"/>
          <w:szCs w:val="24"/>
        </w:rPr>
      </w:pPr>
      <w:r>
        <w:rPr>
          <w:rFonts w:hint="eastAsia" w:ascii="Times New Roman" w:hAnsi="Times New Roman" w:eastAsia="宋体" w:cs="Times New Roman"/>
          <w:bCs w:val="0"/>
          <w:sz w:val="24"/>
          <w:szCs w:val="24"/>
        </w:rPr>
        <w:t>1.21 评审结果异议：供应商或者其他利害关系人对评审结果有异议的，应当在成交候选人公示期间提出。采购人将在收到异议之日起3 日内作出答复；作出答复前，将暂停招标响应活动。</w:t>
      </w:r>
      <w:r>
        <w:rPr>
          <w:b/>
          <w:bCs/>
          <w:sz w:val="24"/>
          <w:szCs w:val="24"/>
          <w:lang w:val="ru-RU"/>
        </w:rPr>
        <w:t>Возражения против результатов оценки</w:t>
      </w:r>
      <w:r>
        <w:rPr>
          <w:sz w:val="24"/>
          <w:szCs w:val="24"/>
          <w:lang w:val="ru-RU"/>
        </w:rPr>
        <w:t xml:space="preserve">: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w:t>
      </w:r>
      <w:r>
        <w:rPr>
          <w:sz w:val="24"/>
          <w:szCs w:val="24"/>
        </w:rPr>
        <w:t>До ответа заказчик приостанавливает все действия по тендеру.</w:t>
      </w:r>
    </w:p>
    <w:p w14:paraId="0349F905">
      <w:pPr>
        <w:adjustRightInd w:val="0"/>
        <w:snapToGrid w:val="0"/>
        <w:spacing w:after="0" w:line="360" w:lineRule="auto"/>
        <w:rPr>
          <w:sz w:val="24"/>
          <w:szCs w:val="24"/>
          <w:lang w:val="ru-RU"/>
        </w:rPr>
      </w:pPr>
      <w:r>
        <w:rPr>
          <w:rFonts w:hint="eastAsia" w:ascii="Times New Roman" w:hAnsi="Times New Roman" w:eastAsia="宋体" w:cs="Times New Roman"/>
          <w:bCs w:val="0"/>
          <w:sz w:val="24"/>
          <w:szCs w:val="24"/>
        </w:rPr>
        <w:t>1.22 采购人通过邮件向成交人发出成交通知书。</w:t>
      </w:r>
      <w:r>
        <w:rPr>
          <w:b/>
          <w:bCs/>
          <w:sz w:val="24"/>
          <w:szCs w:val="24"/>
          <w:lang w:val="ru-RU"/>
        </w:rPr>
        <w:t>Уведомление о победе</w:t>
      </w:r>
      <w:r>
        <w:rPr>
          <w:sz w:val="24"/>
          <w:szCs w:val="24"/>
          <w:lang w:val="ru-RU"/>
        </w:rPr>
        <w:t xml:space="preserve"> будет направлено победителю по электронной почте.</w:t>
      </w:r>
    </w:p>
    <w:p w14:paraId="2E99050E">
      <w:pPr>
        <w:adjustRightInd w:val="0"/>
        <w:snapToGrid w:val="0"/>
        <w:spacing w:after="0" w:line="360" w:lineRule="auto"/>
        <w:rPr>
          <w:szCs w:val="24"/>
        </w:rPr>
      </w:pPr>
      <w:r>
        <w:rPr>
          <w:rFonts w:hint="eastAsia" w:ascii="Times New Roman" w:hAnsi="Times New Roman" w:eastAsia="宋体" w:cs="Times New Roman"/>
          <w:bCs w:val="0"/>
          <w:sz w:val="24"/>
          <w:szCs w:val="24"/>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r>
        <w:rPr>
          <w:b/>
          <w:bCs/>
          <w:szCs w:val="24"/>
          <w:lang w:val="ru-RU"/>
        </w:rPr>
        <w:t>Подписание контракта</w:t>
      </w:r>
      <w:r>
        <w:rPr>
          <w:szCs w:val="24"/>
          <w:lang w:val="ru-RU"/>
        </w:rPr>
        <w:t xml:space="preserve">: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w:t>
      </w:r>
      <w:r>
        <w:rPr>
          <w:szCs w:val="24"/>
        </w:rPr>
        <w:t>Победитель также обязан компенсировать ущерб, причиненный заказчику.</w:t>
      </w:r>
    </w:p>
    <w:p w14:paraId="30E1ED90">
      <w:pPr>
        <w:adjustRightInd w:val="0"/>
        <w:snapToGrid w:val="0"/>
        <w:spacing w:after="0" w:line="360" w:lineRule="auto"/>
        <w:rPr>
          <w:sz w:val="24"/>
          <w:szCs w:val="24"/>
          <w:lang w:val="ru-RU"/>
        </w:rPr>
      </w:pPr>
      <w:r>
        <w:rPr>
          <w:rFonts w:hint="eastAsia" w:ascii="Times New Roman" w:hAnsi="Times New Roman" w:eastAsia="宋体" w:cs="Times New Roman"/>
          <w:bCs w:val="0"/>
          <w:sz w:val="24"/>
          <w:szCs w:val="24"/>
        </w:rPr>
        <w:t>1.24 异议及监督：详见采购公告。</w:t>
      </w:r>
      <w:r>
        <w:rPr>
          <w:b/>
          <w:bCs/>
          <w:sz w:val="24"/>
          <w:szCs w:val="24"/>
          <w:lang w:val="ru-RU"/>
        </w:rPr>
        <w:t>Возражения и надзор</w:t>
      </w:r>
      <w:r>
        <w:rPr>
          <w:sz w:val="24"/>
          <w:szCs w:val="24"/>
          <w:lang w:val="ru-RU"/>
        </w:rPr>
        <w:t>: См. объявление о закупке.</w:t>
      </w:r>
    </w:p>
    <w:p w14:paraId="239C71D4">
      <w:pPr>
        <w:adjustRightInd w:val="0"/>
        <w:snapToGrid w:val="0"/>
        <w:spacing w:after="0" w:line="360" w:lineRule="auto"/>
        <w:rPr>
          <w:sz w:val="24"/>
          <w:szCs w:val="24"/>
        </w:rPr>
      </w:pPr>
      <w:r>
        <w:rPr>
          <w:rFonts w:hint="eastAsia" w:ascii="Times New Roman" w:hAnsi="Times New Roman" w:eastAsia="宋体" w:cs="Times New Roman"/>
          <w:bCs w:val="0"/>
          <w:sz w:val="24"/>
          <w:szCs w:val="24"/>
        </w:rPr>
        <w:t>1.25 费用承担：潜在供应商准备和参加响应活动发生的费用自理。供应商应承担其标书的准备与递交等所涉及的在响应过程中所发生的一切费用，不论响应结果如何，采购人对响应费用不负任何责任。</w:t>
      </w:r>
      <w:r>
        <w:rPr>
          <w:b/>
          <w:bCs/>
          <w:sz w:val="24"/>
          <w:szCs w:val="24"/>
          <w:lang w:val="ru-RU"/>
        </w:rPr>
        <w:t>Расходы</w:t>
      </w:r>
      <w:r>
        <w:rPr>
          <w:sz w:val="24"/>
          <w:szCs w:val="24"/>
          <w:lang w:val="ru-RU"/>
        </w:rPr>
        <w:t xml:space="preserve">: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w:t>
      </w:r>
      <w:r>
        <w:rPr>
          <w:sz w:val="24"/>
          <w:szCs w:val="24"/>
        </w:rPr>
        <w:t>Заказчик не несет ответственности за эти расходы.</w:t>
      </w:r>
    </w:p>
    <w:p w14:paraId="1F681167">
      <w:pPr>
        <w:adjustRightInd w:val="0"/>
        <w:snapToGrid w:val="0"/>
        <w:spacing w:after="0" w:line="360" w:lineRule="auto"/>
        <w:rPr>
          <w:sz w:val="24"/>
          <w:szCs w:val="24"/>
        </w:rPr>
      </w:pPr>
      <w:r>
        <w:rPr>
          <w:rFonts w:hint="eastAsia" w:ascii="Times New Roman" w:hAnsi="Times New Roman" w:eastAsia="宋体" w:cs="Times New Roman"/>
          <w:bCs w:val="0"/>
          <w:sz w:val="24"/>
          <w:szCs w:val="24"/>
        </w:rPr>
        <w:t>1.26 保密：参与响应活动的各方应对采购文件和响应文件中的商业和技术等秘密保密，违者应对由此造成的后果承担法律责任。</w:t>
      </w:r>
      <w:r>
        <w:rPr>
          <w:b/>
          <w:bCs/>
          <w:sz w:val="24"/>
          <w:szCs w:val="24"/>
          <w:lang w:val="ru-RU"/>
        </w:rPr>
        <w:t>Конфиденциальность</w:t>
      </w:r>
      <w:r>
        <w:rPr>
          <w:sz w:val="24"/>
          <w:szCs w:val="24"/>
          <w:lang w:val="ru-RU"/>
        </w:rPr>
        <w:t xml:space="preserve">: Все стороны, участвующие в тендере, обязаны сохранять коммерческую и техническую конфиденциальность закупочных документов и откликов. </w:t>
      </w:r>
      <w:r>
        <w:rPr>
          <w:sz w:val="24"/>
          <w:szCs w:val="24"/>
        </w:rPr>
        <w:t>Нарушители несут ответственность за последствия, связанные с раскрытием информации.</w:t>
      </w:r>
    </w:p>
    <w:p w14:paraId="0950C19B">
      <w:pPr>
        <w:adjustRightInd w:val="0"/>
        <w:snapToGrid w:val="0"/>
        <w:spacing w:after="0" w:line="360" w:lineRule="auto"/>
        <w:rPr>
          <w:sz w:val="24"/>
          <w:szCs w:val="24"/>
          <w:lang w:val="ru-RU"/>
        </w:rPr>
      </w:pPr>
      <w:r>
        <w:rPr>
          <w:rFonts w:hint="eastAsia" w:ascii="Times New Roman" w:hAnsi="Times New Roman" w:eastAsia="宋体" w:cs="Times New Roman"/>
          <w:bCs w:val="0"/>
          <w:sz w:val="24"/>
          <w:szCs w:val="24"/>
        </w:rPr>
        <w:t>1.27 语言文字：均使用中俄双文。</w:t>
      </w:r>
      <w:r>
        <w:rPr>
          <w:b/>
          <w:bCs/>
          <w:sz w:val="24"/>
          <w:szCs w:val="24"/>
          <w:lang w:val="ru-RU"/>
        </w:rPr>
        <w:t>Язык</w:t>
      </w:r>
      <w:r>
        <w:rPr>
          <w:sz w:val="24"/>
          <w:szCs w:val="24"/>
          <w:lang w:val="ru-RU"/>
        </w:rPr>
        <w:t>: Все документы и материалы подаются на китайском и русском языках.</w:t>
      </w:r>
    </w:p>
    <w:p w14:paraId="323FC18E">
      <w:pPr>
        <w:pStyle w:val="4"/>
        <w:keepNext w:val="0"/>
        <w:keepLines w:val="0"/>
        <w:adjustRightInd w:val="0"/>
        <w:snapToGrid w:val="0"/>
        <w:spacing w:before="145" w:after="0"/>
        <w:rPr>
          <w:rFonts w:ascii="Times New Roman" w:hAnsi="Times New Roman" w:eastAsia="宋体" w:cs="Times New Roman"/>
          <w:bCs w:val="0"/>
          <w:sz w:val="24"/>
          <w:szCs w:val="24"/>
        </w:rPr>
      </w:pPr>
    </w:p>
    <w:p w14:paraId="1509F742">
      <w:pPr>
        <w:pStyle w:val="18"/>
        <w:ind w:firstLine="210"/>
      </w:pPr>
    </w:p>
    <w:p w14:paraId="2493A801">
      <w:pPr>
        <w:pStyle w:val="18"/>
        <w:adjustRightInd w:val="0"/>
        <w:snapToGrid w:val="0"/>
        <w:spacing w:line="360" w:lineRule="auto"/>
        <w:ind w:firstLine="210"/>
      </w:pPr>
    </w:p>
    <w:p w14:paraId="3CAE08FC"/>
    <w:p w14:paraId="50B2D73F">
      <w:pPr>
        <w:pStyle w:val="18"/>
        <w:ind w:firstLine="210"/>
      </w:pPr>
    </w:p>
    <w:p w14:paraId="3E3E972C">
      <w:pPr>
        <w:rPr>
          <w:rFonts w:hint="eastAsia" w:ascii="Microsoft JhengHei" w:hAnsi="Microsoft JhengHei" w:eastAsia="黑体" w:cs="Microsoft JhengHei"/>
          <w:kern w:val="0"/>
          <w:sz w:val="36"/>
        </w:rPr>
      </w:pPr>
      <w:bookmarkStart w:id="39" w:name="_Toc522694204"/>
      <w:bookmarkStart w:id="40" w:name="_Toc14048"/>
      <w:bookmarkStart w:id="41" w:name="_Toc25941"/>
      <w:bookmarkStart w:id="42" w:name="_Toc3474875"/>
      <w:bookmarkStart w:id="43" w:name="_Toc21405"/>
      <w:bookmarkStart w:id="44" w:name="_Toc21158"/>
      <w:bookmarkStart w:id="45" w:name="_Toc6874"/>
      <w:bookmarkStart w:id="46" w:name="_Toc523252170"/>
      <w:bookmarkStart w:id="47" w:name="_Toc10911"/>
      <w:bookmarkStart w:id="48" w:name="_Toc14206"/>
      <w:r>
        <w:rPr>
          <w:rFonts w:hint="eastAsia" w:ascii="Microsoft JhengHei" w:hAnsi="Microsoft JhengHei" w:eastAsia="黑体" w:cs="Microsoft JhengHei"/>
          <w:kern w:val="0"/>
          <w:sz w:val="36"/>
        </w:rPr>
        <w:br w:type="page"/>
      </w:r>
    </w:p>
    <w:p w14:paraId="5FBBF7BA">
      <w:pPr>
        <w:pStyle w:val="2"/>
        <w:keepNext/>
        <w:keepLines/>
        <w:adjustRightInd w:val="0"/>
        <w:snapToGrid w:val="0"/>
        <w:spacing w:before="0" w:after="0" w:line="240" w:lineRule="auto"/>
        <w:ind w:left="0"/>
        <w:jc w:val="center"/>
        <w:rPr>
          <w:rFonts w:ascii="Microsoft JhengHei" w:hAnsi="Microsoft JhengHei" w:eastAsia="黑体" w:cs="Microsoft JhengHei"/>
          <w:b w:val="0"/>
          <w:kern w:val="0"/>
          <w:sz w:val="36"/>
        </w:rPr>
      </w:pPr>
      <w:bookmarkStart w:id="49" w:name="_Toc25740"/>
      <w:r>
        <w:rPr>
          <w:rFonts w:hint="eastAsia" w:ascii="Microsoft JhengHei" w:hAnsi="Microsoft JhengHei" w:eastAsia="黑体" w:cs="Microsoft JhengHei"/>
          <w:b w:val="0"/>
          <w:kern w:val="0"/>
          <w:sz w:val="36"/>
        </w:rPr>
        <w:t>第三章 评审办法(经评审的最低价法)</w:t>
      </w:r>
      <w:bookmarkEnd w:id="39"/>
      <w:bookmarkEnd w:id="40"/>
      <w:bookmarkEnd w:id="41"/>
      <w:bookmarkEnd w:id="42"/>
      <w:bookmarkEnd w:id="43"/>
      <w:bookmarkEnd w:id="44"/>
      <w:bookmarkEnd w:id="45"/>
      <w:bookmarkEnd w:id="46"/>
      <w:bookmarkEnd w:id="47"/>
      <w:bookmarkEnd w:id="48"/>
      <w:bookmarkEnd w:id="49"/>
      <w:r>
        <w:t>Методика оценки (метод минимальной цены после оценки)</w:t>
      </w:r>
    </w:p>
    <w:p w14:paraId="2460F795">
      <w:pPr>
        <w:pStyle w:val="3"/>
        <w:spacing w:before="120"/>
        <w:jc w:val="center"/>
      </w:pPr>
      <w:bookmarkStart w:id="50" w:name="_Toc30583"/>
      <w:bookmarkStart w:id="51" w:name="_Toc6680"/>
      <w:bookmarkStart w:id="52" w:name="_Toc523252171"/>
      <w:bookmarkStart w:id="53" w:name="_Toc19905"/>
      <w:bookmarkStart w:id="54" w:name="_Toc27225"/>
      <w:bookmarkStart w:id="55" w:name="_Toc3474876"/>
      <w:bookmarkStart w:id="56" w:name="_Toc15637"/>
      <w:bookmarkStart w:id="57" w:name="_Toc14573"/>
      <w:bookmarkStart w:id="58" w:name="_Toc27654"/>
      <w:r>
        <w:t>评审办法前附表</w:t>
      </w:r>
      <w:bookmarkEnd w:id="50"/>
      <w:bookmarkEnd w:id="51"/>
      <w:bookmarkEnd w:id="52"/>
      <w:bookmarkEnd w:id="53"/>
      <w:bookmarkEnd w:id="54"/>
      <w:bookmarkEnd w:id="55"/>
      <w:bookmarkEnd w:id="56"/>
      <w:bookmarkEnd w:id="57"/>
      <w:bookmarkEnd w:id="58"/>
      <w:r>
        <w:rPr>
          <w:szCs w:val="18"/>
        </w:rPr>
        <w:t>П</w:t>
      </w:r>
      <w:r>
        <w:rPr>
          <w:rFonts w:hint="default" w:ascii="Times New Roman" w:hAnsi="Times New Roman" w:cs="Times New Roman"/>
          <w:szCs w:val="18"/>
        </w:rPr>
        <w:t>риложение к методике оценки</w:t>
      </w:r>
    </w:p>
    <w:tbl>
      <w:tblPr>
        <w:tblStyle w:val="2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07"/>
        <w:gridCol w:w="1715"/>
        <w:gridCol w:w="4129"/>
      </w:tblGrid>
      <w:tr w14:paraId="0478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832" w:type="dxa"/>
            <w:tcMar>
              <w:left w:w="28" w:type="dxa"/>
              <w:right w:w="28" w:type="dxa"/>
            </w:tcMar>
            <w:vAlign w:val="center"/>
          </w:tcPr>
          <w:p w14:paraId="169F760B">
            <w:pPr>
              <w:pStyle w:val="12"/>
              <w:rPr>
                <w:szCs w:val="18"/>
                <w:lang w:bidi="en-US"/>
              </w:rPr>
            </w:pPr>
            <w:r>
              <w:rPr>
                <w:rFonts w:hint="eastAsia"/>
                <w:szCs w:val="18"/>
                <w:lang w:bidi="en-US"/>
              </w:rPr>
              <w:t>条款号</w:t>
            </w:r>
          </w:p>
        </w:tc>
        <w:tc>
          <w:tcPr>
            <w:tcW w:w="2407" w:type="dxa"/>
            <w:tcMar>
              <w:left w:w="28" w:type="dxa"/>
              <w:right w:w="28" w:type="dxa"/>
            </w:tcMar>
            <w:vAlign w:val="center"/>
          </w:tcPr>
          <w:p w14:paraId="3D35A912">
            <w:pPr>
              <w:pStyle w:val="12"/>
              <w:rPr>
                <w:szCs w:val="18"/>
                <w:lang w:bidi="en-US"/>
              </w:rPr>
            </w:pPr>
            <w:r>
              <w:rPr>
                <w:rFonts w:hint="eastAsia"/>
                <w:szCs w:val="18"/>
                <w:lang w:bidi="en-US"/>
              </w:rPr>
              <w:t>条款内容</w:t>
            </w:r>
            <w:r>
              <w:rPr>
                <w:szCs w:val="18"/>
                <w:lang w:bidi="en-US"/>
              </w:rPr>
              <w:t>Содержание пункта</w:t>
            </w:r>
          </w:p>
        </w:tc>
        <w:tc>
          <w:tcPr>
            <w:tcW w:w="5844" w:type="dxa"/>
            <w:gridSpan w:val="2"/>
            <w:tcMar>
              <w:left w:w="28" w:type="dxa"/>
              <w:right w:w="28" w:type="dxa"/>
            </w:tcMar>
            <w:vAlign w:val="center"/>
          </w:tcPr>
          <w:p w14:paraId="79A72376">
            <w:pPr>
              <w:pStyle w:val="12"/>
              <w:rPr>
                <w:szCs w:val="18"/>
                <w:lang w:bidi="en-US"/>
              </w:rPr>
            </w:pPr>
            <w:r>
              <w:rPr>
                <w:rFonts w:hint="eastAsia"/>
                <w:szCs w:val="18"/>
                <w:lang w:bidi="en-US"/>
              </w:rPr>
              <w:t>编列内容</w:t>
            </w:r>
            <w:r>
              <w:rPr>
                <w:szCs w:val="18"/>
                <w:lang w:bidi="en-US"/>
              </w:rPr>
              <w:t>Содержание составления</w:t>
            </w:r>
          </w:p>
        </w:tc>
      </w:tr>
      <w:tr w14:paraId="67E6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832" w:type="dxa"/>
            <w:tcMar>
              <w:left w:w="28" w:type="dxa"/>
              <w:right w:w="28" w:type="dxa"/>
            </w:tcMar>
            <w:vAlign w:val="center"/>
          </w:tcPr>
          <w:p w14:paraId="4EA51C33">
            <w:pPr>
              <w:pStyle w:val="12"/>
              <w:rPr>
                <w:rFonts w:cs="宋体"/>
                <w:szCs w:val="18"/>
              </w:rPr>
            </w:pPr>
            <w:r>
              <w:rPr>
                <w:rFonts w:hint="eastAsia" w:cs="宋体"/>
                <w:szCs w:val="18"/>
              </w:rPr>
              <w:t>1</w:t>
            </w:r>
          </w:p>
        </w:tc>
        <w:tc>
          <w:tcPr>
            <w:tcW w:w="2407" w:type="dxa"/>
            <w:tcMar>
              <w:left w:w="28" w:type="dxa"/>
              <w:right w:w="28" w:type="dxa"/>
            </w:tcMar>
            <w:vAlign w:val="center"/>
          </w:tcPr>
          <w:p w14:paraId="57C178F2">
            <w:pPr>
              <w:pStyle w:val="12"/>
              <w:rPr>
                <w:rFonts w:cs="宋体"/>
                <w:szCs w:val="18"/>
              </w:rPr>
            </w:pPr>
            <w:r>
              <w:rPr>
                <w:rFonts w:hint="eastAsia" w:cs="宋体"/>
                <w:szCs w:val="18"/>
              </w:rPr>
              <w:t>预成交供应商推荐原则</w:t>
            </w:r>
            <w:r>
              <w:rPr>
                <w:rFonts w:cs="宋体"/>
                <w:szCs w:val="18"/>
              </w:rPr>
              <w:t>Принципы рекомендации поставщика для предварительного заключения контракта</w:t>
            </w:r>
          </w:p>
        </w:tc>
        <w:tc>
          <w:tcPr>
            <w:tcW w:w="5844" w:type="dxa"/>
            <w:gridSpan w:val="2"/>
            <w:tcMar>
              <w:left w:w="28" w:type="dxa"/>
              <w:right w:w="28" w:type="dxa"/>
            </w:tcMar>
            <w:vAlign w:val="center"/>
          </w:tcPr>
          <w:p w14:paraId="4D0A9B05">
            <w:pPr>
              <w:pStyle w:val="12"/>
              <w:rPr>
                <w:rFonts w:cs="宋体"/>
                <w:szCs w:val="18"/>
              </w:rPr>
            </w:pPr>
            <w:r>
              <w:rPr>
                <w:rFonts w:hint="eastAsia" w:cs="宋体"/>
                <w:szCs w:val="18"/>
              </w:rPr>
              <w:t>按评审价格从低到高确定预成交供应商顺序</w:t>
            </w:r>
            <w:r>
              <w:rPr>
                <w:rFonts w:cs="宋体"/>
                <w:szCs w:val="18"/>
              </w:rPr>
              <w:t>Определение последовательности поставщиков для предварительного заключения контракта по принципу от наименьшей цены к наибольшей</w:t>
            </w:r>
          </w:p>
        </w:tc>
      </w:tr>
      <w:tr w14:paraId="1A3B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32" w:type="dxa"/>
            <w:vMerge w:val="restart"/>
            <w:tcMar>
              <w:left w:w="28" w:type="dxa"/>
              <w:right w:w="28" w:type="dxa"/>
            </w:tcMar>
            <w:vAlign w:val="center"/>
          </w:tcPr>
          <w:p w14:paraId="1A165C82">
            <w:pPr>
              <w:pStyle w:val="12"/>
              <w:rPr>
                <w:szCs w:val="18"/>
                <w:lang w:bidi="en-US"/>
              </w:rPr>
            </w:pPr>
            <w:r>
              <w:rPr>
                <w:szCs w:val="18"/>
                <w:lang w:bidi="en-US"/>
              </w:rPr>
              <w:t>2.1.1</w:t>
            </w:r>
          </w:p>
        </w:tc>
        <w:tc>
          <w:tcPr>
            <w:tcW w:w="2407" w:type="dxa"/>
            <w:vMerge w:val="restart"/>
            <w:tcMar>
              <w:left w:w="28" w:type="dxa"/>
              <w:right w:w="28" w:type="dxa"/>
            </w:tcMar>
            <w:vAlign w:val="center"/>
          </w:tcPr>
          <w:p w14:paraId="2F75BFDF">
            <w:pPr>
              <w:pStyle w:val="12"/>
              <w:rPr>
                <w:szCs w:val="18"/>
                <w:lang w:bidi="en-US"/>
              </w:rPr>
            </w:pPr>
            <w:r>
              <w:rPr>
                <w:szCs w:val="18"/>
              </w:rPr>
              <w:t>形式评审标准Стандарты формальной оценки</w:t>
            </w:r>
          </w:p>
        </w:tc>
        <w:tc>
          <w:tcPr>
            <w:tcW w:w="1715" w:type="dxa"/>
            <w:tcMar>
              <w:left w:w="28" w:type="dxa"/>
              <w:right w:w="28" w:type="dxa"/>
            </w:tcMar>
            <w:vAlign w:val="center"/>
          </w:tcPr>
          <w:p w14:paraId="55DA486C">
            <w:pPr>
              <w:pStyle w:val="12"/>
              <w:rPr>
                <w:szCs w:val="18"/>
              </w:rPr>
            </w:pPr>
            <w:r>
              <w:rPr>
                <w:rFonts w:hint="eastAsia" w:cs="宋体"/>
                <w:szCs w:val="18"/>
                <w:lang w:bidi="ar"/>
              </w:rPr>
              <w:t>供应商名称</w:t>
            </w:r>
            <w:r>
              <w:rPr>
                <w:rFonts w:cs="宋体"/>
                <w:szCs w:val="18"/>
                <w:lang w:bidi="ar"/>
              </w:rPr>
              <w:t>Наименование поставщика</w:t>
            </w:r>
          </w:p>
        </w:tc>
        <w:tc>
          <w:tcPr>
            <w:tcW w:w="4129" w:type="dxa"/>
            <w:tcMar>
              <w:left w:w="28" w:type="dxa"/>
              <w:right w:w="28" w:type="dxa"/>
            </w:tcMar>
            <w:vAlign w:val="center"/>
          </w:tcPr>
          <w:p w14:paraId="4B26FFDB">
            <w:pPr>
              <w:pStyle w:val="12"/>
              <w:rPr>
                <w:szCs w:val="18"/>
              </w:rPr>
            </w:pPr>
            <w:r>
              <w:rPr>
                <w:rFonts w:hint="eastAsia" w:cs="宋体"/>
                <w:szCs w:val="18"/>
              </w:rPr>
              <w:t>与法人证明/身份证一致</w:t>
            </w:r>
            <w:r>
              <w:rPr>
                <w:rFonts w:cs="宋体"/>
                <w:szCs w:val="18"/>
              </w:rPr>
              <w:t>Соответствует данным в документе о юридическом лице/паспорте</w:t>
            </w:r>
          </w:p>
        </w:tc>
      </w:tr>
      <w:tr w14:paraId="7D4F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832" w:type="dxa"/>
            <w:vMerge w:val="continue"/>
            <w:tcMar>
              <w:left w:w="28" w:type="dxa"/>
              <w:right w:w="28" w:type="dxa"/>
            </w:tcMar>
            <w:vAlign w:val="center"/>
          </w:tcPr>
          <w:p w14:paraId="2148D223">
            <w:pPr>
              <w:pStyle w:val="12"/>
              <w:rPr>
                <w:szCs w:val="18"/>
              </w:rPr>
            </w:pPr>
          </w:p>
        </w:tc>
        <w:tc>
          <w:tcPr>
            <w:tcW w:w="2407" w:type="dxa"/>
            <w:vMerge w:val="continue"/>
            <w:tcMar>
              <w:left w:w="28" w:type="dxa"/>
              <w:right w:w="28" w:type="dxa"/>
            </w:tcMar>
            <w:vAlign w:val="center"/>
          </w:tcPr>
          <w:p w14:paraId="6C97A8FB">
            <w:pPr>
              <w:pStyle w:val="12"/>
              <w:rPr>
                <w:szCs w:val="18"/>
              </w:rPr>
            </w:pPr>
          </w:p>
        </w:tc>
        <w:tc>
          <w:tcPr>
            <w:tcW w:w="1715" w:type="dxa"/>
            <w:tcMar>
              <w:left w:w="28" w:type="dxa"/>
              <w:right w:w="28" w:type="dxa"/>
            </w:tcMar>
            <w:vAlign w:val="center"/>
          </w:tcPr>
          <w:p w14:paraId="4FAC3665">
            <w:pPr>
              <w:pStyle w:val="12"/>
              <w:rPr>
                <w:szCs w:val="18"/>
              </w:rPr>
            </w:pPr>
            <w:r>
              <w:rPr>
                <w:rFonts w:hint="eastAsia" w:cs="宋体"/>
                <w:szCs w:val="18"/>
              </w:rPr>
              <w:t>报价函及报价函附录签字</w:t>
            </w:r>
            <w:r>
              <w:rPr>
                <w:rFonts w:cs="宋体"/>
                <w:szCs w:val="18"/>
              </w:rPr>
              <w:t>Подпись в предложении и приложениях</w:t>
            </w:r>
          </w:p>
        </w:tc>
        <w:tc>
          <w:tcPr>
            <w:tcW w:w="4129" w:type="dxa"/>
            <w:tcMar>
              <w:left w:w="28" w:type="dxa"/>
              <w:right w:w="28" w:type="dxa"/>
            </w:tcMar>
            <w:vAlign w:val="center"/>
          </w:tcPr>
          <w:p w14:paraId="683D8DAF">
            <w:pPr>
              <w:pStyle w:val="12"/>
              <w:rPr>
                <w:szCs w:val="18"/>
              </w:rPr>
            </w:pPr>
            <w:r>
              <w:rPr>
                <w:rFonts w:hint="eastAsia"/>
                <w:szCs w:val="18"/>
              </w:rPr>
              <w:t>有法定代表人或自然人签字，应附法人代表人或自然人身份证明，并符合第六章“响应文件格式”的规定</w:t>
            </w:r>
            <w:r>
              <w:rPr>
                <w:szCs w:val="18"/>
              </w:rPr>
              <w:t>Подпись должна быть поставлена законным представителем или физическим лицом, при этом необходимо приложить удостоверение личности законного представителя или физического лица и соблюдать требования раздела 6 "Формат отклика поставщика".</w:t>
            </w:r>
          </w:p>
        </w:tc>
      </w:tr>
      <w:tr w14:paraId="2EEFF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32" w:type="dxa"/>
            <w:vMerge w:val="continue"/>
            <w:tcMar>
              <w:left w:w="28" w:type="dxa"/>
              <w:right w:w="28" w:type="dxa"/>
            </w:tcMar>
            <w:vAlign w:val="center"/>
          </w:tcPr>
          <w:p w14:paraId="6A31CEC1">
            <w:pPr>
              <w:pStyle w:val="12"/>
              <w:rPr>
                <w:szCs w:val="18"/>
              </w:rPr>
            </w:pPr>
          </w:p>
        </w:tc>
        <w:tc>
          <w:tcPr>
            <w:tcW w:w="2407" w:type="dxa"/>
            <w:vMerge w:val="continue"/>
            <w:tcMar>
              <w:left w:w="28" w:type="dxa"/>
              <w:right w:w="28" w:type="dxa"/>
            </w:tcMar>
            <w:vAlign w:val="center"/>
          </w:tcPr>
          <w:p w14:paraId="10B01686">
            <w:pPr>
              <w:pStyle w:val="12"/>
              <w:rPr>
                <w:szCs w:val="18"/>
              </w:rPr>
            </w:pPr>
          </w:p>
        </w:tc>
        <w:tc>
          <w:tcPr>
            <w:tcW w:w="1715" w:type="dxa"/>
            <w:tcMar>
              <w:left w:w="28" w:type="dxa"/>
              <w:right w:w="28" w:type="dxa"/>
            </w:tcMar>
            <w:vAlign w:val="center"/>
          </w:tcPr>
          <w:p w14:paraId="562DD7EA">
            <w:pPr>
              <w:pStyle w:val="12"/>
              <w:rPr>
                <w:szCs w:val="18"/>
              </w:rPr>
            </w:pPr>
            <w:r>
              <w:rPr>
                <w:rFonts w:hint="eastAsia" w:cs="宋体"/>
                <w:szCs w:val="18"/>
              </w:rPr>
              <w:t>响应文件格式</w:t>
            </w:r>
            <w:r>
              <w:rPr>
                <w:rFonts w:cs="宋体"/>
                <w:szCs w:val="18"/>
              </w:rPr>
              <w:t>Формат отклика</w:t>
            </w:r>
          </w:p>
        </w:tc>
        <w:tc>
          <w:tcPr>
            <w:tcW w:w="4129" w:type="dxa"/>
            <w:tcMar>
              <w:left w:w="28" w:type="dxa"/>
              <w:right w:w="28" w:type="dxa"/>
            </w:tcMar>
            <w:vAlign w:val="center"/>
          </w:tcPr>
          <w:p w14:paraId="677387BF">
            <w:pPr>
              <w:pStyle w:val="12"/>
              <w:rPr>
                <w:szCs w:val="18"/>
              </w:rPr>
            </w:pPr>
            <w:r>
              <w:rPr>
                <w:rFonts w:hint="eastAsia" w:cs="宋体"/>
                <w:szCs w:val="18"/>
              </w:rPr>
              <w:t>符合第六章“响应文件格式”的规定</w:t>
            </w:r>
            <w:r>
              <w:rPr>
                <w:rFonts w:cs="宋体"/>
                <w:szCs w:val="18"/>
              </w:rPr>
              <w:t>Соответствует требованиям раздела 6 "Формат отклика поставщика" закупочных документов.</w:t>
            </w:r>
          </w:p>
        </w:tc>
      </w:tr>
      <w:tr w14:paraId="711E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32" w:type="dxa"/>
            <w:tcMar>
              <w:left w:w="28" w:type="dxa"/>
              <w:right w:w="28" w:type="dxa"/>
            </w:tcMar>
            <w:vAlign w:val="center"/>
          </w:tcPr>
          <w:p w14:paraId="5ECB391F">
            <w:pPr>
              <w:pStyle w:val="12"/>
              <w:rPr>
                <w:szCs w:val="18"/>
              </w:rPr>
            </w:pPr>
            <w:r>
              <w:rPr>
                <w:rFonts w:hint="eastAsia"/>
                <w:szCs w:val="18"/>
                <w:lang w:bidi="en-US"/>
              </w:rPr>
              <w:t>2.1.2</w:t>
            </w:r>
          </w:p>
        </w:tc>
        <w:tc>
          <w:tcPr>
            <w:tcW w:w="2407" w:type="dxa"/>
            <w:tcMar>
              <w:left w:w="28" w:type="dxa"/>
              <w:right w:w="28" w:type="dxa"/>
            </w:tcMar>
            <w:vAlign w:val="center"/>
          </w:tcPr>
          <w:p w14:paraId="31C326E5">
            <w:pPr>
              <w:pStyle w:val="12"/>
              <w:rPr>
                <w:szCs w:val="18"/>
              </w:rPr>
            </w:pPr>
            <w:r>
              <w:rPr>
                <w:rFonts w:hint="eastAsia"/>
                <w:szCs w:val="18"/>
              </w:rPr>
              <w:t>资格评审标准</w:t>
            </w:r>
            <w:r>
              <w:rPr>
                <w:szCs w:val="18"/>
              </w:rPr>
              <w:t>Стандарты квалификационной оценки</w:t>
            </w:r>
          </w:p>
        </w:tc>
        <w:tc>
          <w:tcPr>
            <w:tcW w:w="5844" w:type="dxa"/>
            <w:gridSpan w:val="2"/>
            <w:tcMar>
              <w:left w:w="28" w:type="dxa"/>
              <w:right w:w="28" w:type="dxa"/>
            </w:tcMar>
            <w:vAlign w:val="center"/>
          </w:tcPr>
          <w:p w14:paraId="20ACB1CD">
            <w:pPr>
              <w:pStyle w:val="12"/>
              <w:rPr>
                <w:rFonts w:cs="宋体"/>
                <w:szCs w:val="18"/>
              </w:rPr>
            </w:pPr>
            <w:r>
              <w:rPr>
                <w:rFonts w:cs="宋体"/>
                <w:szCs w:val="18"/>
              </w:rPr>
              <w:t>符合</w:t>
            </w:r>
            <w:r>
              <w:rPr>
                <w:rFonts w:hint="eastAsia" w:cs="宋体"/>
                <w:szCs w:val="18"/>
              </w:rPr>
              <w:t>采购公告</w:t>
            </w:r>
            <w:r>
              <w:rPr>
                <w:rFonts w:cs="宋体"/>
                <w:szCs w:val="18"/>
              </w:rPr>
              <w:t>第</w:t>
            </w:r>
            <w:r>
              <w:rPr>
                <w:rFonts w:hint="eastAsia" w:cs="宋体"/>
                <w:szCs w:val="18"/>
              </w:rPr>
              <w:t>6条供应商资格要求</w:t>
            </w:r>
            <w:r>
              <w:rPr>
                <w:rFonts w:cs="宋体"/>
                <w:szCs w:val="18"/>
              </w:rPr>
              <w:t>Соответствует требованиям пункта 6 объявления о закупке для поставщиков.</w:t>
            </w:r>
          </w:p>
        </w:tc>
      </w:tr>
      <w:tr w14:paraId="75CD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832" w:type="dxa"/>
            <w:tcMar>
              <w:left w:w="28" w:type="dxa"/>
              <w:right w:w="28" w:type="dxa"/>
            </w:tcMar>
            <w:vAlign w:val="center"/>
          </w:tcPr>
          <w:p w14:paraId="7B82190A">
            <w:pPr>
              <w:pStyle w:val="12"/>
              <w:rPr>
                <w:szCs w:val="18"/>
                <w:lang w:bidi="en-US"/>
              </w:rPr>
            </w:pPr>
            <w:r>
              <w:rPr>
                <w:szCs w:val="18"/>
                <w:lang w:bidi="en-US"/>
              </w:rPr>
              <w:t>2.1.</w:t>
            </w:r>
            <w:r>
              <w:rPr>
                <w:rFonts w:hint="eastAsia"/>
                <w:szCs w:val="18"/>
                <w:lang w:bidi="en-US"/>
              </w:rPr>
              <w:t>3</w:t>
            </w:r>
          </w:p>
        </w:tc>
        <w:tc>
          <w:tcPr>
            <w:tcW w:w="2407" w:type="dxa"/>
            <w:tcMar>
              <w:left w:w="28" w:type="dxa"/>
              <w:right w:w="28" w:type="dxa"/>
            </w:tcMar>
            <w:vAlign w:val="center"/>
          </w:tcPr>
          <w:p w14:paraId="4C71F5E1">
            <w:pPr>
              <w:pStyle w:val="12"/>
              <w:rPr>
                <w:szCs w:val="18"/>
                <w:lang w:bidi="en-US"/>
              </w:rPr>
            </w:pPr>
            <w:r>
              <w:rPr>
                <w:rFonts w:hint="eastAsia"/>
                <w:szCs w:val="18"/>
                <w:lang w:bidi="en-US"/>
              </w:rPr>
              <w:t>符合性审查标准</w:t>
            </w:r>
            <w:r>
              <w:rPr>
                <w:szCs w:val="18"/>
                <w:lang w:bidi="en-US"/>
              </w:rPr>
              <w:t>Стандарты оценки соответствия</w:t>
            </w:r>
          </w:p>
        </w:tc>
        <w:tc>
          <w:tcPr>
            <w:tcW w:w="5844" w:type="dxa"/>
            <w:gridSpan w:val="2"/>
            <w:tcMar>
              <w:left w:w="28" w:type="dxa"/>
              <w:right w:w="28" w:type="dxa"/>
            </w:tcMar>
            <w:vAlign w:val="center"/>
          </w:tcPr>
          <w:p w14:paraId="5BA9E343">
            <w:pPr>
              <w:pStyle w:val="12"/>
              <w:rPr>
                <w:szCs w:val="18"/>
                <w:lang w:bidi="en-US"/>
              </w:rPr>
            </w:pPr>
            <w:r>
              <w:rPr>
                <w:rFonts w:hint="eastAsia"/>
                <w:szCs w:val="18"/>
                <w:lang w:bidi="en-US"/>
              </w:rPr>
              <w:t>续表</w:t>
            </w:r>
            <w:r>
              <w:rPr>
                <w:szCs w:val="18"/>
                <w:lang w:bidi="en-US"/>
              </w:rPr>
              <w:t>1：符合性审查标准</w:t>
            </w:r>
            <w:r>
              <w:rPr>
                <w:rFonts w:cs="宋体"/>
                <w:szCs w:val="18"/>
              </w:rPr>
              <w:t>См. таблицу 1: Стандарты оценки соответствия</w:t>
            </w:r>
          </w:p>
        </w:tc>
      </w:tr>
    </w:tbl>
    <w:p w14:paraId="05F163FB"/>
    <w:p w14:paraId="6397C0D1">
      <w:pPr>
        <w:pStyle w:val="19"/>
        <w:ind w:firstLine="420"/>
      </w:pPr>
    </w:p>
    <w:p w14:paraId="038FE7AD">
      <w:r>
        <w:rPr>
          <w:rFonts w:hint="eastAsia"/>
        </w:rPr>
        <w:br w:type="page"/>
      </w:r>
    </w:p>
    <w:p w14:paraId="0B81AD48">
      <w:pPr>
        <w:rPr>
          <w:rFonts w:eastAsia="楷体"/>
        </w:rPr>
      </w:pPr>
      <w:r>
        <w:rPr>
          <w:rFonts w:hint="eastAsia"/>
        </w:rPr>
        <w:t>续表1：符合性审查标准表</w:t>
      </w:r>
      <w:r>
        <w:rPr>
          <w:rFonts w:eastAsia="楷体"/>
        </w:rPr>
        <w:t>Таблица 1: Стандарты оценки соответствия</w:t>
      </w:r>
    </w:p>
    <w:tbl>
      <w:tblPr>
        <w:tblStyle w:val="20"/>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91"/>
      </w:tblGrid>
      <w:tr w14:paraId="5E92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14F33522">
            <w:pPr>
              <w:pStyle w:val="29"/>
              <w:widowControl w:val="0"/>
              <w:jc w:val="center"/>
              <w:rPr>
                <w:rFonts w:ascii="Times New Roman" w:hAnsi="Times New Roman" w:eastAsia="楷体"/>
                <w:bCs/>
              </w:rPr>
            </w:pPr>
            <w:r>
              <w:rPr>
                <w:rFonts w:ascii="Times New Roman" w:hAnsi="Times New Roman" w:eastAsia="楷体"/>
              </w:rPr>
              <w:t>序号</w:t>
            </w:r>
          </w:p>
        </w:tc>
        <w:tc>
          <w:tcPr>
            <w:tcW w:w="8291" w:type="dxa"/>
            <w:tcMar>
              <w:left w:w="28" w:type="dxa"/>
              <w:right w:w="28" w:type="dxa"/>
            </w:tcMar>
            <w:vAlign w:val="center"/>
          </w:tcPr>
          <w:p w14:paraId="536C6FDA">
            <w:pPr>
              <w:pStyle w:val="12"/>
              <w:jc w:val="center"/>
              <w:rPr>
                <w:rFonts w:eastAsia="楷体"/>
              </w:rPr>
            </w:pPr>
            <w:r>
              <w:rPr>
                <w:rFonts w:eastAsia="楷体"/>
              </w:rPr>
              <w:t>合格条件Условия соответствия</w:t>
            </w:r>
          </w:p>
        </w:tc>
      </w:tr>
      <w:tr w14:paraId="5EDA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42404FA9">
            <w:pPr>
              <w:pStyle w:val="29"/>
              <w:widowControl w:val="0"/>
              <w:jc w:val="center"/>
              <w:rPr>
                <w:rFonts w:ascii="Times New Roman" w:hAnsi="Times New Roman" w:eastAsia="楷体"/>
              </w:rPr>
            </w:pPr>
            <w:r>
              <w:rPr>
                <w:rFonts w:ascii="Times New Roman" w:hAnsi="Times New Roman" w:eastAsia="楷体"/>
              </w:rPr>
              <w:t>1</w:t>
            </w:r>
          </w:p>
        </w:tc>
        <w:tc>
          <w:tcPr>
            <w:tcW w:w="8291" w:type="dxa"/>
            <w:tcMar>
              <w:left w:w="28" w:type="dxa"/>
              <w:right w:w="28" w:type="dxa"/>
            </w:tcMar>
            <w:vAlign w:val="center"/>
          </w:tcPr>
          <w:p w14:paraId="16640775">
            <w:pPr>
              <w:pStyle w:val="29"/>
              <w:widowControl w:val="0"/>
              <w:rPr>
                <w:rFonts w:ascii="Times New Roman" w:hAnsi="Times New Roman" w:eastAsia="楷体"/>
                <w:lang w:val="ru-RU"/>
              </w:rPr>
            </w:pPr>
            <w:r>
              <w:rPr>
                <w:rFonts w:ascii="Times New Roman" w:hAnsi="Times New Roman" w:eastAsia="楷体"/>
              </w:rPr>
              <w:t>响应人资格应符合采购公告中资格条件的要求。</w:t>
            </w:r>
            <w:r>
              <w:rPr>
                <w:rFonts w:ascii="Times New Roman" w:hAnsi="Times New Roman" w:eastAsia="楷体"/>
                <w:lang w:val="ru-RU"/>
              </w:rPr>
              <w:t>Квалификация откликающегося лица должна соответствовать требованиям квалификационных условий, указанным в объявлении о закупке.</w:t>
            </w:r>
          </w:p>
        </w:tc>
      </w:tr>
      <w:tr w14:paraId="1102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3CB61561">
            <w:pPr>
              <w:pStyle w:val="29"/>
              <w:widowControl w:val="0"/>
              <w:jc w:val="center"/>
              <w:rPr>
                <w:rFonts w:ascii="Times New Roman" w:hAnsi="Times New Roman" w:eastAsia="楷体"/>
              </w:rPr>
            </w:pPr>
            <w:r>
              <w:rPr>
                <w:rFonts w:ascii="Times New Roman" w:hAnsi="Times New Roman" w:eastAsia="楷体"/>
              </w:rPr>
              <w:t>2</w:t>
            </w:r>
          </w:p>
        </w:tc>
        <w:tc>
          <w:tcPr>
            <w:tcW w:w="8291" w:type="dxa"/>
            <w:tcMar>
              <w:left w:w="28" w:type="dxa"/>
              <w:right w:w="28" w:type="dxa"/>
            </w:tcMar>
            <w:vAlign w:val="center"/>
          </w:tcPr>
          <w:p w14:paraId="45C32BC1">
            <w:pPr>
              <w:pStyle w:val="29"/>
              <w:widowControl w:val="0"/>
              <w:rPr>
                <w:rFonts w:ascii="Times New Roman" w:hAnsi="Times New Roman" w:eastAsia="楷体"/>
                <w:lang w:val="ru-RU"/>
              </w:rPr>
            </w:pPr>
            <w:r>
              <w:rPr>
                <w:rFonts w:ascii="Times New Roman" w:hAnsi="Times New Roman" w:eastAsia="楷体"/>
              </w:rPr>
              <w:t>响应文件的主要格式和内容不符合采购文件要求，并导致评审小组无法正常评审的，应当否决其响应文件。</w:t>
            </w:r>
            <w:r>
              <w:rPr>
                <w:rFonts w:ascii="Times New Roman" w:hAnsi="Times New Roman" w:eastAsia="楷体"/>
                <w:lang w:val="ru-RU"/>
              </w:rPr>
              <w:t>Если основной формат и содержание отклика не соответствуют требованиям закупочных документов и это мешает нормальной оценке, отклик должен быть отклонен.</w:t>
            </w:r>
          </w:p>
        </w:tc>
      </w:tr>
      <w:tr w14:paraId="6396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09E9902E">
            <w:pPr>
              <w:pStyle w:val="29"/>
              <w:widowControl w:val="0"/>
              <w:jc w:val="center"/>
              <w:rPr>
                <w:rFonts w:ascii="Times New Roman" w:hAnsi="Times New Roman" w:eastAsia="楷体"/>
              </w:rPr>
            </w:pPr>
            <w:r>
              <w:rPr>
                <w:rFonts w:ascii="Times New Roman" w:hAnsi="Times New Roman" w:eastAsia="楷体"/>
              </w:rPr>
              <w:t>3</w:t>
            </w:r>
          </w:p>
        </w:tc>
        <w:tc>
          <w:tcPr>
            <w:tcW w:w="8291" w:type="dxa"/>
            <w:tcMar>
              <w:left w:w="28" w:type="dxa"/>
              <w:right w:w="28" w:type="dxa"/>
            </w:tcMar>
            <w:vAlign w:val="center"/>
          </w:tcPr>
          <w:p w14:paraId="3F44BDD5">
            <w:pPr>
              <w:pStyle w:val="29"/>
              <w:widowControl w:val="0"/>
              <w:jc w:val="both"/>
              <w:rPr>
                <w:rFonts w:ascii="Times New Roman" w:hAnsi="Times New Roman" w:eastAsia="楷体"/>
                <w:lang w:val="ru-RU"/>
              </w:rPr>
            </w:pPr>
            <w:r>
              <w:rPr>
                <w:rFonts w:ascii="Times New Roman" w:hAnsi="Times New Roman" w:eastAsia="楷体"/>
              </w:rPr>
              <w:t>响应有效期不满足采购文件要求，应当否决其响应。</w:t>
            </w:r>
            <w:r>
              <w:rPr>
                <w:rFonts w:ascii="Times New Roman" w:hAnsi="Times New Roman" w:eastAsia="楷体"/>
                <w:lang w:val="ru-RU"/>
              </w:rPr>
              <w:t>Если срок действия отклика не соответствует требованиям закупочных документов, отклик должен быть отклонен.</w:t>
            </w:r>
          </w:p>
        </w:tc>
      </w:tr>
      <w:tr w14:paraId="3BBC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36298697">
            <w:pPr>
              <w:pStyle w:val="29"/>
              <w:widowControl w:val="0"/>
              <w:jc w:val="center"/>
              <w:rPr>
                <w:rFonts w:ascii="Times New Roman" w:hAnsi="Times New Roman" w:eastAsia="楷体"/>
              </w:rPr>
            </w:pPr>
            <w:r>
              <w:rPr>
                <w:rFonts w:ascii="Times New Roman" w:hAnsi="Times New Roman" w:eastAsia="楷体"/>
              </w:rPr>
              <w:t>4</w:t>
            </w:r>
          </w:p>
        </w:tc>
        <w:tc>
          <w:tcPr>
            <w:tcW w:w="8291" w:type="dxa"/>
            <w:tcMar>
              <w:left w:w="28" w:type="dxa"/>
              <w:right w:w="28" w:type="dxa"/>
            </w:tcMar>
            <w:vAlign w:val="center"/>
          </w:tcPr>
          <w:p w14:paraId="0D1AC94E">
            <w:pPr>
              <w:pStyle w:val="29"/>
              <w:widowControl w:val="0"/>
              <w:rPr>
                <w:rFonts w:ascii="Times New Roman" w:hAnsi="Times New Roman" w:eastAsia="楷体"/>
                <w:lang w:val="ru-RU"/>
              </w:rPr>
            </w:pPr>
            <w:r>
              <w:rPr>
                <w:rFonts w:ascii="Times New Roman" w:hAnsi="Times New Roman" w:eastAsia="楷体"/>
              </w:rPr>
              <w:t>供应商有串通报价、弄虚作假、行贿等违法行为，应当否决其响应。</w:t>
            </w:r>
            <w:r>
              <w:rPr>
                <w:rFonts w:ascii="Times New Roman" w:hAnsi="Times New Roman" w:eastAsia="楷体"/>
                <w:lang w:val="ru-RU"/>
              </w:rPr>
              <w:t>Если поставщик совершил незаконные действия, такие как сговор при подаче ценовых предложений, фальсификация, дача взяток и т. д., его отклик должен быть отклонен.</w:t>
            </w:r>
          </w:p>
        </w:tc>
      </w:tr>
      <w:tr w14:paraId="45B3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086A257D">
            <w:pPr>
              <w:pStyle w:val="29"/>
              <w:widowControl w:val="0"/>
              <w:jc w:val="center"/>
              <w:rPr>
                <w:rFonts w:ascii="Times New Roman" w:hAnsi="Times New Roman" w:eastAsia="楷体"/>
              </w:rPr>
            </w:pPr>
            <w:r>
              <w:rPr>
                <w:rFonts w:ascii="Times New Roman" w:hAnsi="Times New Roman" w:eastAsia="楷体"/>
              </w:rPr>
              <w:t>5</w:t>
            </w:r>
          </w:p>
        </w:tc>
        <w:tc>
          <w:tcPr>
            <w:tcW w:w="8291" w:type="dxa"/>
            <w:tcMar>
              <w:left w:w="28" w:type="dxa"/>
              <w:right w:w="28" w:type="dxa"/>
            </w:tcMar>
            <w:vAlign w:val="center"/>
          </w:tcPr>
          <w:p w14:paraId="4C7F4991">
            <w:pPr>
              <w:pStyle w:val="29"/>
              <w:widowControl w:val="0"/>
              <w:rPr>
                <w:rFonts w:ascii="Times New Roman" w:hAnsi="Times New Roman" w:eastAsia="楷体"/>
              </w:rPr>
            </w:pPr>
            <w:r>
              <w:rPr>
                <w:rFonts w:ascii="Times New Roman" w:hAnsi="Times New Roman" w:eastAsia="楷体"/>
              </w:rPr>
              <w:t>若在评审期间发现了供应商提供了虚假资料，采购人有权对供应商的响应文件作否决报价处理；Если в процессе оценки будет установлено, что поставщик предоставил ложные документы, заказчик имеет право отклонить его ценовое предложение.</w:t>
            </w:r>
          </w:p>
        </w:tc>
      </w:tr>
      <w:tr w14:paraId="0CAB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341E9AEC">
            <w:pPr>
              <w:pStyle w:val="29"/>
              <w:widowControl w:val="0"/>
              <w:jc w:val="center"/>
              <w:rPr>
                <w:rFonts w:ascii="Times New Roman" w:hAnsi="Times New Roman" w:eastAsia="楷体"/>
              </w:rPr>
            </w:pPr>
            <w:r>
              <w:rPr>
                <w:rFonts w:ascii="Times New Roman" w:hAnsi="Times New Roman" w:eastAsia="楷体"/>
              </w:rPr>
              <w:t>6</w:t>
            </w:r>
          </w:p>
        </w:tc>
        <w:tc>
          <w:tcPr>
            <w:tcW w:w="8291" w:type="dxa"/>
            <w:tcMar>
              <w:left w:w="28" w:type="dxa"/>
              <w:right w:w="28" w:type="dxa"/>
            </w:tcMar>
            <w:vAlign w:val="center"/>
          </w:tcPr>
          <w:p w14:paraId="67F30447">
            <w:pPr>
              <w:pStyle w:val="29"/>
              <w:widowControl w:val="0"/>
              <w:rPr>
                <w:rFonts w:ascii="Times New Roman" w:hAnsi="Times New Roman" w:eastAsia="楷体"/>
                <w:lang w:val="ru-RU"/>
              </w:rPr>
            </w:pPr>
            <w:r>
              <w:rPr>
                <w:rFonts w:ascii="Times New Roman" w:hAnsi="Times New Roman" w:eastAsia="楷体"/>
              </w:rPr>
              <w:t>所有有效响应人的报价均超出采购人预期的，采购人有权否决所有响应。</w:t>
            </w:r>
            <w:r>
              <w:rPr>
                <w:rFonts w:ascii="Times New Roman" w:hAnsi="Times New Roman" w:eastAsia="楷体"/>
                <w:lang w:val="ru-RU"/>
              </w:rPr>
              <w:t>Если все действительные отклики поставщиков превышают ожидаемую цену заказчика, заказчик имеет право отклонить все отклики.</w:t>
            </w:r>
          </w:p>
        </w:tc>
      </w:tr>
      <w:tr w14:paraId="67BD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5DA1A3DD">
            <w:pPr>
              <w:pStyle w:val="29"/>
              <w:widowControl w:val="0"/>
              <w:jc w:val="center"/>
              <w:rPr>
                <w:rFonts w:ascii="Times New Roman" w:hAnsi="Times New Roman" w:eastAsia="楷体"/>
              </w:rPr>
            </w:pPr>
            <w:r>
              <w:rPr>
                <w:rFonts w:ascii="Times New Roman" w:hAnsi="Times New Roman" w:eastAsia="楷体"/>
              </w:rPr>
              <w:t>7</w:t>
            </w:r>
          </w:p>
        </w:tc>
        <w:tc>
          <w:tcPr>
            <w:tcW w:w="8291" w:type="dxa"/>
            <w:tcMar>
              <w:left w:w="28" w:type="dxa"/>
              <w:right w:w="28" w:type="dxa"/>
            </w:tcMar>
            <w:vAlign w:val="center"/>
          </w:tcPr>
          <w:p w14:paraId="1CB75D79">
            <w:pPr>
              <w:pStyle w:val="29"/>
              <w:widowControl w:val="0"/>
              <w:rPr>
                <w:rFonts w:ascii="Times New Roman" w:hAnsi="Times New Roman" w:eastAsia="楷体"/>
                <w:lang w:val="ru-RU"/>
              </w:rPr>
            </w:pPr>
            <w:r>
              <w:rPr>
                <w:rFonts w:ascii="Times New Roman" w:hAnsi="Times New Roman" w:eastAsia="楷体"/>
              </w:rPr>
              <w:t>响应报价有算术错误的，评审小组按采购文件约定的原则对响应报价进行修正，修正后的响应报价作为评审价。修正后的价格经响应人书面确认后，具有约束力。响应人不接受修正价格的，评审小组应当否决其响应。</w:t>
            </w:r>
            <w:r>
              <w:rPr>
                <w:rFonts w:ascii="Times New Roman" w:hAnsi="Times New Roman" w:eastAsia="楷体"/>
                <w:lang w:val="ru-RU"/>
              </w:rPr>
              <w:t>Если в ценовом предложении поставщика найдены арифметические ошибки, комиссия по оценке должна исправить цену отклика согласно принципам, указанным в закупочных документах. Исправленная цена будет использоваться для оценки. После письменного подтверждения исправленной цены поставщиком, она становится обязательной. Если поставщик не принимает исправленную цену, его отклик должен быть отклонен.</w:t>
            </w:r>
          </w:p>
        </w:tc>
      </w:tr>
      <w:tr w14:paraId="403C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4B590C47">
            <w:pPr>
              <w:pStyle w:val="29"/>
              <w:widowControl w:val="0"/>
              <w:jc w:val="center"/>
              <w:rPr>
                <w:rFonts w:ascii="Times New Roman" w:hAnsi="Times New Roman" w:eastAsia="楷体"/>
              </w:rPr>
            </w:pPr>
            <w:r>
              <w:rPr>
                <w:rFonts w:ascii="Times New Roman" w:hAnsi="Times New Roman" w:eastAsia="楷体"/>
              </w:rPr>
              <w:t>8</w:t>
            </w:r>
          </w:p>
        </w:tc>
        <w:tc>
          <w:tcPr>
            <w:tcW w:w="8291" w:type="dxa"/>
            <w:tcMar>
              <w:left w:w="28" w:type="dxa"/>
              <w:right w:w="28" w:type="dxa"/>
            </w:tcMar>
            <w:vAlign w:val="center"/>
          </w:tcPr>
          <w:p w14:paraId="28FE8264">
            <w:pPr>
              <w:pStyle w:val="29"/>
              <w:widowControl w:val="0"/>
              <w:rPr>
                <w:rFonts w:ascii="Times New Roman" w:hAnsi="Times New Roman" w:eastAsia="楷体"/>
                <w:lang w:val="ru-RU"/>
              </w:rPr>
            </w:pPr>
            <w:r>
              <w:rPr>
                <w:rFonts w:ascii="Times New Roman" w:hAnsi="Times New Roman" w:eastAsia="楷体"/>
              </w:rPr>
              <w:t>评审小组发现响应人的报价明显低于其他响应报价，或者在设有标底时明显低于标底，使得其响应报价可能低于其个别成本的，应当要求该响应人作出书面说明并提供相应的证明材料。响应人不能合理说明或者不能提供相应证明材料的，由评审小组认定该响应人以低于成本报价响应，按否决其响应处理。</w:t>
            </w:r>
            <w:r>
              <w:rPr>
                <w:rFonts w:ascii="Times New Roman" w:hAnsi="Times New Roman" w:eastAsia="楷体"/>
                <w:lang w:val="ru-RU"/>
              </w:rPr>
              <w:t>Если комиссия по оценке обнаружит, что цена отклика поставщика значительно ниже других откликов или, в случае наличия ориентировочной цены, значительно ниже этой цены, что может означать, что его предложение ниже его индивидуальных затрат, заказчик должен запросить от поставщика письменное объяснение и соответствующие доказательства. Если поставщик не может разумно объяснить или предоставить необходимые доказательства, комиссия по оценке признает, что поставщик подал отклик с ценой ниже себестоимости, и отклонит его отклик.</w:t>
            </w:r>
          </w:p>
        </w:tc>
      </w:tr>
      <w:tr w14:paraId="6A48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400F330C">
            <w:pPr>
              <w:pStyle w:val="29"/>
              <w:widowControl w:val="0"/>
              <w:jc w:val="center"/>
              <w:rPr>
                <w:rFonts w:ascii="Times New Roman" w:hAnsi="Times New Roman" w:eastAsia="楷体"/>
              </w:rPr>
            </w:pPr>
            <w:r>
              <w:rPr>
                <w:rFonts w:ascii="Times New Roman" w:hAnsi="Times New Roman" w:eastAsia="楷体"/>
              </w:rPr>
              <w:t>9</w:t>
            </w:r>
          </w:p>
        </w:tc>
        <w:tc>
          <w:tcPr>
            <w:tcW w:w="8291" w:type="dxa"/>
            <w:tcMar>
              <w:left w:w="28" w:type="dxa"/>
              <w:right w:w="28" w:type="dxa"/>
            </w:tcMar>
            <w:vAlign w:val="center"/>
          </w:tcPr>
          <w:p w14:paraId="39A76BB7">
            <w:pPr>
              <w:pStyle w:val="29"/>
              <w:widowControl w:val="0"/>
              <w:rPr>
                <w:rFonts w:ascii="Times New Roman" w:hAnsi="Times New Roman" w:eastAsia="楷体"/>
                <w:lang w:val="ru-RU"/>
              </w:rPr>
            </w:pPr>
            <w:r>
              <w:rPr>
                <w:rFonts w:ascii="Times New Roman" w:hAnsi="Times New Roman" w:eastAsia="楷体"/>
              </w:rPr>
              <w:t>除响应人须知前附表规定允许外，响应人不得递交备选响应方案，否则其响应将被否决。同一响应人提交两个以上不同的响应文件或者响应报价，应当否决其响应，但采购文件要求提交备选响应的除外。</w:t>
            </w:r>
            <w:r>
              <w:rPr>
                <w:rFonts w:ascii="Times New Roman" w:hAnsi="Times New Roman" w:eastAsia="楷体"/>
                <w:lang w:val="ru-RU"/>
              </w:rPr>
              <w:t>Если не предусмотрено иное в приложении к разделу "Инструкция для поставщиков", отклик поставщика не должен содержать альтернативные предложения, в противном случае его отклик будет отклонен. Если один и тот же поставщик подает два и более различных отклика или ценовых предложений, его отклик должен быть отклонен, за исключением случаев, когда в закупочных документах указано требование о подаче альтернативных предложений.</w:t>
            </w:r>
          </w:p>
        </w:tc>
      </w:tr>
      <w:tr w14:paraId="6CA0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3A572439">
            <w:pPr>
              <w:pStyle w:val="29"/>
              <w:widowControl w:val="0"/>
              <w:jc w:val="center"/>
              <w:rPr>
                <w:rFonts w:ascii="Times New Roman" w:hAnsi="Times New Roman" w:eastAsia="楷体"/>
              </w:rPr>
            </w:pPr>
            <w:r>
              <w:rPr>
                <w:rFonts w:ascii="Times New Roman" w:hAnsi="Times New Roman" w:eastAsia="楷体"/>
              </w:rPr>
              <w:t>10</w:t>
            </w:r>
          </w:p>
        </w:tc>
        <w:tc>
          <w:tcPr>
            <w:tcW w:w="8291" w:type="dxa"/>
            <w:tcMar>
              <w:left w:w="28" w:type="dxa"/>
              <w:right w:w="28" w:type="dxa"/>
            </w:tcMar>
            <w:vAlign w:val="center"/>
          </w:tcPr>
          <w:p w14:paraId="18E0F874">
            <w:pPr>
              <w:pStyle w:val="29"/>
              <w:widowControl w:val="0"/>
              <w:rPr>
                <w:rFonts w:ascii="Times New Roman" w:hAnsi="Times New Roman" w:eastAsia="楷体"/>
                <w:lang w:val="ru-RU"/>
              </w:rPr>
            </w:pPr>
            <w:r>
              <w:rPr>
                <w:rFonts w:ascii="Times New Roman" w:hAnsi="Times New Roman" w:eastAsia="楷体"/>
              </w:rPr>
              <w:t>评审小组对供应商提交的澄清、说明或补正有疑问的，可以要求供应商进一步澄清、说明或补正，直至满足评审小组的要求。如不按评审小组要求进行澄清、说明或补正的，可以否决其响应。</w:t>
            </w:r>
            <w:r>
              <w:rPr>
                <w:rFonts w:ascii="Times New Roman" w:hAnsi="Times New Roman" w:eastAsia="楷体"/>
                <w:lang w:val="ru-RU"/>
              </w:rPr>
              <w:t>Если комиссия по оценке имеет сомнения относительно разъяснений, пояснений или исправлений, представленных поставщиком, она может запросить дополнительные разъяснения или исправления, пока не будут выполнены требования комиссии. Если поставщик не предоставляет разъяснения или исправления по запросу комиссии, его отклик может быть отклонен.</w:t>
            </w:r>
          </w:p>
        </w:tc>
      </w:tr>
      <w:tr w14:paraId="359F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5166A262">
            <w:pPr>
              <w:pStyle w:val="29"/>
              <w:widowControl w:val="0"/>
              <w:jc w:val="center"/>
              <w:rPr>
                <w:rFonts w:ascii="Times New Roman" w:hAnsi="Times New Roman" w:eastAsia="楷体"/>
              </w:rPr>
            </w:pPr>
            <w:r>
              <w:rPr>
                <w:rFonts w:ascii="Times New Roman" w:hAnsi="Times New Roman" w:eastAsia="楷体"/>
              </w:rPr>
              <w:t>11</w:t>
            </w:r>
          </w:p>
        </w:tc>
        <w:tc>
          <w:tcPr>
            <w:tcW w:w="8291" w:type="dxa"/>
            <w:tcMar>
              <w:left w:w="28" w:type="dxa"/>
              <w:right w:w="28" w:type="dxa"/>
            </w:tcMar>
            <w:vAlign w:val="center"/>
          </w:tcPr>
          <w:p w14:paraId="6A13E21C">
            <w:pPr>
              <w:pStyle w:val="29"/>
              <w:widowControl w:val="0"/>
              <w:rPr>
                <w:rFonts w:ascii="Times New Roman" w:hAnsi="Times New Roman" w:eastAsia="楷体"/>
                <w:lang w:val="ru-RU"/>
              </w:rPr>
            </w:pPr>
            <w:r>
              <w:rPr>
                <w:rFonts w:ascii="Times New Roman" w:hAnsi="Times New Roman" w:eastAsia="楷体"/>
              </w:rPr>
              <w:t>响应文件应当对采购文件的实质性要求和条件作出满足性或更有利于采购人的响应，否则，供应商的响应将被否决。</w:t>
            </w:r>
            <w:r>
              <w:rPr>
                <w:rFonts w:ascii="Times New Roman" w:hAnsi="Times New Roman" w:eastAsia="楷体"/>
                <w:lang w:val="ru-RU"/>
              </w:rPr>
              <w:t>Отклик должен соответствовать существенным требованиям и условиям закупочных документов или предлагать более выгодные условия для заказчика, в противном случае отклик поставщика будет отклонен.</w:t>
            </w:r>
          </w:p>
        </w:tc>
      </w:tr>
      <w:tr w14:paraId="2ED0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0F8A4BD5">
            <w:pPr>
              <w:pStyle w:val="29"/>
              <w:widowControl w:val="0"/>
              <w:jc w:val="center"/>
              <w:rPr>
                <w:rFonts w:hint="default" w:ascii="Times New Roman" w:hAnsi="Times New Roman" w:eastAsia="楷体"/>
                <w:lang w:val="en-US" w:eastAsia="zh-CN"/>
              </w:rPr>
            </w:pPr>
            <w:r>
              <w:rPr>
                <w:rFonts w:hint="eastAsia" w:ascii="Times New Roman" w:hAnsi="Times New Roman" w:eastAsia="楷体"/>
                <w:lang w:val="en-US" w:eastAsia="zh-CN"/>
              </w:rPr>
              <w:t>12</w:t>
            </w:r>
          </w:p>
        </w:tc>
        <w:tc>
          <w:tcPr>
            <w:tcW w:w="8291" w:type="dxa"/>
            <w:tcMar>
              <w:left w:w="28" w:type="dxa"/>
              <w:right w:w="28" w:type="dxa"/>
            </w:tcMar>
            <w:vAlign w:val="center"/>
          </w:tcPr>
          <w:p w14:paraId="2E9DCDA6">
            <w:pPr>
              <w:pStyle w:val="29"/>
              <w:widowControl w:val="0"/>
              <w:rPr>
                <w:rFonts w:ascii="Times New Roman" w:hAnsi="Times New Roman" w:eastAsia="楷体"/>
                <w:lang w:val="ru-RU"/>
              </w:rPr>
            </w:pPr>
            <w:r>
              <w:rPr>
                <w:rFonts w:ascii="Times New Roman" w:hAnsi="Times New Roman" w:eastAsia="楷体"/>
              </w:rPr>
              <w:t>响应文件附有采购人不能接受的条件，应当否决其响应。</w:t>
            </w:r>
            <w:r>
              <w:rPr>
                <w:rFonts w:ascii="Times New Roman" w:hAnsi="Times New Roman" w:eastAsia="楷体"/>
                <w:lang w:val="ru-RU"/>
              </w:rPr>
              <w:t>Если в отклике присутствуют условия, которые заказчик не может принять, отклик должен быть отклонен.</w:t>
            </w:r>
          </w:p>
        </w:tc>
      </w:tr>
      <w:tr w14:paraId="701B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230947C7">
            <w:pPr>
              <w:pStyle w:val="29"/>
              <w:widowControl w:val="0"/>
              <w:jc w:val="center"/>
              <w:rPr>
                <w:rFonts w:hint="default" w:ascii="Times New Roman" w:hAnsi="Times New Roman" w:eastAsia="楷体"/>
                <w:lang w:val="en-US" w:eastAsia="zh-CN"/>
              </w:rPr>
            </w:pPr>
            <w:r>
              <w:rPr>
                <w:rFonts w:hint="eastAsia" w:ascii="Times New Roman" w:hAnsi="Times New Roman" w:eastAsia="楷体"/>
                <w:lang w:val="en-US" w:eastAsia="zh-CN"/>
              </w:rPr>
              <w:t>13</w:t>
            </w:r>
          </w:p>
        </w:tc>
        <w:tc>
          <w:tcPr>
            <w:tcW w:w="8291" w:type="dxa"/>
            <w:tcMar>
              <w:left w:w="28" w:type="dxa"/>
              <w:right w:w="28" w:type="dxa"/>
            </w:tcMar>
            <w:vAlign w:val="center"/>
          </w:tcPr>
          <w:p w14:paraId="6F428BE8">
            <w:pPr>
              <w:pStyle w:val="29"/>
              <w:widowControl w:val="0"/>
              <w:rPr>
                <w:rFonts w:ascii="Times New Roman" w:hAnsi="Times New Roman" w:eastAsia="楷体"/>
                <w:lang w:val="ru-RU"/>
              </w:rPr>
            </w:pPr>
            <w:r>
              <w:rPr>
                <w:rFonts w:ascii="Times New Roman" w:hAnsi="Times New Roman" w:eastAsia="楷体"/>
              </w:rPr>
              <w:t>采购文件或国家法规规定的其他否决报价内容。</w:t>
            </w:r>
            <w:r>
              <w:rPr>
                <w:rFonts w:ascii="Times New Roman" w:hAnsi="Times New Roman" w:eastAsia="楷体"/>
                <w:lang w:val="ru-RU"/>
              </w:rPr>
              <w:t>Другие причины отклонения ценового предложения, указанные в закупочных документах или в национальных законах.</w:t>
            </w:r>
          </w:p>
        </w:tc>
      </w:tr>
    </w:tbl>
    <w:p w14:paraId="57559136"/>
    <w:p w14:paraId="4AF46C39">
      <w:pPr>
        <w:rPr>
          <w:rFonts w:hint="eastAsia" w:ascii="黑体" w:hAnsi="黑体" w:eastAsia="黑体" w:cs="Microsoft JhengHei"/>
          <w:kern w:val="0"/>
          <w:sz w:val="28"/>
          <w:szCs w:val="28"/>
        </w:rPr>
      </w:pPr>
      <w:bookmarkStart w:id="59" w:name="_Toc3087"/>
      <w:bookmarkStart w:id="60" w:name="_Toc522694210"/>
      <w:bookmarkStart w:id="61" w:name="_Toc13390"/>
      <w:bookmarkStart w:id="62" w:name="_Toc24897"/>
      <w:bookmarkStart w:id="63" w:name="_Toc26082"/>
      <w:bookmarkStart w:id="64" w:name="_Toc1123"/>
      <w:bookmarkStart w:id="65" w:name="_Toc12242"/>
      <w:bookmarkStart w:id="66" w:name="_Toc3474881"/>
      <w:bookmarkStart w:id="67" w:name="_Toc28208"/>
      <w:bookmarkStart w:id="68" w:name="_Toc525_WPSOffice_Level1"/>
      <w:r>
        <w:rPr>
          <w:rFonts w:ascii="黑体" w:hAnsi="黑体" w:eastAsia="黑体" w:cs="Microsoft JhengHei"/>
          <w:kern w:val="0"/>
          <w:sz w:val="28"/>
          <w:szCs w:val="28"/>
        </w:rPr>
        <w:br w:type="page"/>
      </w:r>
    </w:p>
    <w:bookmarkEnd w:id="59"/>
    <w:bookmarkEnd w:id="60"/>
    <w:bookmarkEnd w:id="61"/>
    <w:bookmarkEnd w:id="62"/>
    <w:bookmarkEnd w:id="63"/>
    <w:bookmarkEnd w:id="64"/>
    <w:bookmarkEnd w:id="65"/>
    <w:bookmarkEnd w:id="66"/>
    <w:bookmarkEnd w:id="67"/>
    <w:p w14:paraId="4A9CFC0E">
      <w:pPr>
        <w:pStyle w:val="3"/>
        <w:adjustRightInd w:val="0"/>
        <w:snapToGrid w:val="0"/>
        <w:spacing w:beforeAutospacing="0" w:after="0" w:afterAutospacing="0" w:line="360" w:lineRule="auto"/>
        <w:rPr>
          <w:rFonts w:hint="default" w:ascii="Times New Roman" w:hAnsi="Times New Roman" w:eastAsia="楷体"/>
          <w:b w:val="0"/>
          <w:sz w:val="28"/>
          <w:szCs w:val="28"/>
        </w:rPr>
      </w:pPr>
      <w:bookmarkStart w:id="69" w:name="_Toc28586"/>
      <w:bookmarkStart w:id="70" w:name="_Toc523252172"/>
      <w:bookmarkStart w:id="71" w:name="_Toc3474885"/>
      <w:bookmarkStart w:id="72" w:name="_Toc32553"/>
      <w:bookmarkStart w:id="73" w:name="_Toc15987"/>
      <w:bookmarkStart w:id="74" w:name="_Toc14599"/>
      <w:bookmarkStart w:id="75" w:name="_Toc522694211"/>
      <w:bookmarkStart w:id="76" w:name="_Toc30148"/>
      <w:bookmarkStart w:id="77" w:name="_Toc1892"/>
      <w:bookmarkStart w:id="78" w:name="_Toc22098"/>
      <w:r>
        <w:rPr>
          <w:rFonts w:ascii="黑体" w:hAnsi="黑体" w:eastAsia="黑体" w:cs="Microsoft JhengHei"/>
          <w:b w:val="0"/>
          <w:sz w:val="28"/>
          <w:szCs w:val="28"/>
        </w:rPr>
        <w:t xml:space="preserve">1. </w:t>
      </w:r>
      <w:r>
        <w:rPr>
          <w:rFonts w:hint="default" w:ascii="Times New Roman" w:hAnsi="Times New Roman" w:eastAsia="楷体"/>
          <w:b w:val="0"/>
          <w:sz w:val="28"/>
          <w:szCs w:val="28"/>
        </w:rPr>
        <w:t>评审方法</w:t>
      </w:r>
      <w:bookmarkEnd w:id="69"/>
      <w:bookmarkEnd w:id="70"/>
      <w:bookmarkEnd w:id="71"/>
      <w:bookmarkEnd w:id="72"/>
      <w:bookmarkEnd w:id="73"/>
      <w:bookmarkEnd w:id="74"/>
      <w:bookmarkEnd w:id="75"/>
      <w:bookmarkEnd w:id="76"/>
      <w:bookmarkEnd w:id="77"/>
      <w:bookmarkEnd w:id="78"/>
      <w:r>
        <w:rPr>
          <w:rFonts w:hint="default" w:ascii="Times New Roman" w:hAnsi="Times New Roman" w:eastAsia="楷体"/>
          <w:b w:val="0"/>
          <w:sz w:val="28"/>
          <w:szCs w:val="28"/>
        </w:rPr>
        <w:t>Метод оценки</w:t>
      </w:r>
    </w:p>
    <w:p w14:paraId="5BDEFE8A">
      <w:pPr>
        <w:adjustRightInd w:val="0"/>
        <w:snapToGrid w:val="0"/>
        <w:spacing w:line="440" w:lineRule="exact"/>
        <w:ind w:firstLine="480" w:firstLineChars="200"/>
        <w:rPr>
          <w:rFonts w:eastAsia="楷体"/>
          <w:kern w:val="0"/>
          <w:sz w:val="24"/>
          <w:szCs w:val="24"/>
          <w:lang w:val="ru-RU" w:bidi="en-US"/>
        </w:rPr>
      </w:pPr>
      <w:r>
        <w:rPr>
          <w:rFonts w:eastAsia="楷体"/>
          <w:kern w:val="0"/>
          <w:sz w:val="24"/>
          <w:szCs w:val="24"/>
          <w:lang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r>
        <w:rPr>
          <w:lang w:val="ru-RU"/>
        </w:rPr>
        <w:t>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14:paraId="1AB0EDFA">
      <w:pPr>
        <w:pStyle w:val="12"/>
        <w:rPr>
          <w:rFonts w:eastAsia="楷体"/>
          <w:b/>
          <w:sz w:val="28"/>
          <w:szCs w:val="28"/>
        </w:rPr>
      </w:pPr>
      <w:bookmarkStart w:id="79" w:name="_Toc8553"/>
      <w:bookmarkStart w:id="80" w:name="_Toc16162"/>
      <w:bookmarkStart w:id="81" w:name="_Toc11599"/>
      <w:bookmarkStart w:id="82" w:name="_Toc1716"/>
      <w:bookmarkStart w:id="83" w:name="_Toc1520"/>
      <w:bookmarkStart w:id="84" w:name="_Toc16118"/>
      <w:bookmarkStart w:id="85" w:name="_Toc15322"/>
      <w:bookmarkStart w:id="86" w:name="_Toc7511"/>
      <w:r>
        <w:rPr>
          <w:rFonts w:eastAsia="楷体"/>
          <w:kern w:val="0"/>
          <w:sz w:val="28"/>
          <w:szCs w:val="28"/>
        </w:rPr>
        <w:t>2. 评审标准</w:t>
      </w:r>
      <w:bookmarkEnd w:id="79"/>
      <w:bookmarkEnd w:id="80"/>
      <w:bookmarkEnd w:id="81"/>
      <w:bookmarkEnd w:id="82"/>
      <w:bookmarkEnd w:id="83"/>
      <w:bookmarkEnd w:id="84"/>
      <w:bookmarkEnd w:id="85"/>
      <w:bookmarkEnd w:id="86"/>
      <w:r>
        <w:rPr>
          <w:lang w:val="ru-RU"/>
        </w:rPr>
        <w:t>Критерии оценки</w:t>
      </w:r>
    </w:p>
    <w:p w14:paraId="63AC388A">
      <w:pPr>
        <w:adjustRightInd w:val="0"/>
        <w:snapToGrid w:val="0"/>
        <w:spacing w:after="0" w:line="360" w:lineRule="auto"/>
        <w:ind w:firstLine="480" w:firstLineChars="200"/>
        <w:jc w:val="left"/>
        <w:rPr>
          <w:rFonts w:eastAsia="楷体"/>
          <w:kern w:val="0"/>
          <w:sz w:val="24"/>
          <w:szCs w:val="24"/>
          <w:lang w:bidi="en-US"/>
        </w:rPr>
      </w:pPr>
      <w:bookmarkStart w:id="87" w:name="_Toc28622"/>
      <w:bookmarkStart w:id="88" w:name="_Toc16807"/>
      <w:bookmarkStart w:id="89" w:name="_Toc8725"/>
      <w:bookmarkStart w:id="90" w:name="_Toc11272"/>
      <w:bookmarkStart w:id="91" w:name="_Toc22420"/>
      <w:bookmarkStart w:id="92" w:name="_Toc31885"/>
      <w:bookmarkStart w:id="93" w:name="_Toc5985"/>
      <w:bookmarkStart w:id="94" w:name="_Toc18471"/>
      <w:r>
        <w:rPr>
          <w:rFonts w:eastAsia="楷体"/>
          <w:kern w:val="0"/>
          <w:sz w:val="24"/>
          <w:szCs w:val="24"/>
          <w:lang w:bidi="en-US"/>
        </w:rPr>
        <w:t>2.1 初步审查标准</w:t>
      </w:r>
      <w:bookmarkEnd w:id="87"/>
      <w:bookmarkEnd w:id="88"/>
      <w:bookmarkEnd w:id="89"/>
      <w:bookmarkEnd w:id="90"/>
      <w:bookmarkEnd w:id="91"/>
      <w:bookmarkEnd w:id="92"/>
      <w:bookmarkEnd w:id="93"/>
      <w:bookmarkEnd w:id="94"/>
      <w:r>
        <w:rPr>
          <w:lang w:val="ru-RU"/>
        </w:rPr>
        <w:t>Первоначальная проверка</w:t>
      </w:r>
    </w:p>
    <w:p w14:paraId="76C95059">
      <w:pPr>
        <w:adjustRightInd w:val="0"/>
        <w:snapToGrid w:val="0"/>
        <w:spacing w:after="0" w:line="360" w:lineRule="auto"/>
        <w:ind w:firstLine="480" w:firstLineChars="200"/>
        <w:jc w:val="left"/>
        <w:rPr>
          <w:rFonts w:eastAsia="楷体"/>
          <w:kern w:val="0"/>
          <w:sz w:val="24"/>
          <w:szCs w:val="24"/>
          <w:lang w:val="ru-RU" w:bidi="en-US"/>
        </w:rPr>
      </w:pPr>
      <w:r>
        <w:rPr>
          <w:rFonts w:eastAsia="楷体"/>
          <w:kern w:val="0"/>
          <w:sz w:val="24"/>
          <w:szCs w:val="24"/>
          <w:lang w:bidi="en-US"/>
        </w:rPr>
        <w:t>2.1.1形式审查标准：见评审办法前附表。</w:t>
      </w:r>
      <w:r>
        <w:rPr>
          <w:lang w:val="ru-RU"/>
        </w:rPr>
        <w:t>Формальная проверка: см. дополнительные приложения к методике оценки.</w:t>
      </w:r>
    </w:p>
    <w:p w14:paraId="27639E9E">
      <w:pPr>
        <w:adjustRightInd w:val="0"/>
        <w:snapToGrid w:val="0"/>
        <w:spacing w:after="0" w:line="360" w:lineRule="auto"/>
        <w:ind w:firstLine="480" w:firstLineChars="200"/>
        <w:jc w:val="left"/>
        <w:rPr>
          <w:rFonts w:eastAsia="楷体"/>
          <w:kern w:val="0"/>
          <w:sz w:val="24"/>
          <w:szCs w:val="24"/>
          <w:lang w:val="ru-RU" w:bidi="en-US"/>
        </w:rPr>
      </w:pPr>
      <w:r>
        <w:rPr>
          <w:rFonts w:eastAsia="楷体"/>
          <w:kern w:val="0"/>
          <w:sz w:val="24"/>
          <w:szCs w:val="24"/>
          <w:lang w:bidi="en-US"/>
        </w:rPr>
        <w:t>2.1.2 资格审查标准:见评审办法前附表。</w:t>
      </w:r>
      <w:r>
        <w:rPr>
          <w:lang w:val="ru-RU"/>
        </w:rPr>
        <w:t>Квалификационная проверка: см. дополнительные приложения к методике оценки.</w:t>
      </w:r>
    </w:p>
    <w:p w14:paraId="3A36CEE5">
      <w:pPr>
        <w:adjustRightInd w:val="0"/>
        <w:snapToGrid w:val="0"/>
        <w:spacing w:after="0" w:line="360" w:lineRule="auto"/>
        <w:ind w:firstLine="480" w:firstLineChars="200"/>
        <w:jc w:val="left"/>
        <w:rPr>
          <w:rFonts w:eastAsia="楷体"/>
          <w:kern w:val="0"/>
          <w:sz w:val="24"/>
          <w:szCs w:val="24"/>
          <w:lang w:val="ru-RU" w:bidi="en-US"/>
        </w:rPr>
      </w:pPr>
      <w:r>
        <w:rPr>
          <w:rFonts w:eastAsia="楷体"/>
          <w:kern w:val="0"/>
          <w:sz w:val="24"/>
          <w:szCs w:val="24"/>
          <w:lang w:bidi="en-US"/>
        </w:rPr>
        <w:t>2.1.3 符合性审查标准：见评审办法前附表续表1。</w:t>
      </w:r>
      <w:r>
        <w:rPr>
          <w:lang w:val="ru-RU"/>
        </w:rPr>
        <w:t>Соответствующая проверка: см. дополнительные приложения к методике оценки (Таблица 1).</w:t>
      </w:r>
    </w:p>
    <w:p w14:paraId="1DF66E75">
      <w:pPr>
        <w:adjustRightInd w:val="0"/>
        <w:snapToGrid w:val="0"/>
        <w:spacing w:after="0" w:line="360" w:lineRule="auto"/>
        <w:ind w:firstLine="480" w:firstLineChars="200"/>
        <w:jc w:val="left"/>
        <w:rPr>
          <w:rFonts w:eastAsia="楷体"/>
          <w:kern w:val="0"/>
          <w:sz w:val="24"/>
          <w:szCs w:val="24"/>
          <w:lang w:bidi="en-US"/>
        </w:rPr>
      </w:pPr>
      <w:bookmarkStart w:id="95" w:name="_Toc14860"/>
      <w:bookmarkStart w:id="96" w:name="_Toc3438"/>
      <w:bookmarkStart w:id="97" w:name="_Toc26999"/>
      <w:bookmarkStart w:id="98" w:name="_Toc3833"/>
      <w:bookmarkStart w:id="99" w:name="_Toc18980"/>
      <w:bookmarkStart w:id="100" w:name="_Toc23580"/>
      <w:bookmarkStart w:id="101" w:name="_Toc6860"/>
      <w:bookmarkStart w:id="102" w:name="_Toc8210"/>
      <w:r>
        <w:rPr>
          <w:rFonts w:eastAsia="楷体"/>
          <w:kern w:val="0"/>
          <w:sz w:val="24"/>
          <w:szCs w:val="24"/>
          <w:lang w:bidi="en-US"/>
        </w:rPr>
        <w:t>2.2 详细评审标准</w:t>
      </w:r>
      <w:bookmarkEnd w:id="95"/>
      <w:bookmarkEnd w:id="96"/>
      <w:bookmarkEnd w:id="97"/>
      <w:bookmarkEnd w:id="98"/>
      <w:bookmarkEnd w:id="99"/>
      <w:bookmarkEnd w:id="100"/>
      <w:bookmarkEnd w:id="101"/>
      <w:bookmarkEnd w:id="102"/>
      <w:r>
        <w:rPr>
          <w:lang w:val="ru-RU"/>
        </w:rPr>
        <w:t>Подробная оценка</w:t>
      </w:r>
    </w:p>
    <w:p w14:paraId="00AF50EB">
      <w:pPr>
        <w:pStyle w:val="12"/>
        <w:rPr>
          <w:lang w:val="ru-RU"/>
        </w:rPr>
      </w:pPr>
      <w:r>
        <w:rPr>
          <w:rFonts w:eastAsia="楷体"/>
          <w:kern w:val="0"/>
          <w:sz w:val="24"/>
          <w:szCs w:val="24"/>
          <w:lang w:bidi="en-US"/>
        </w:rPr>
        <w:t>见本章第3.3条。</w:t>
      </w:r>
      <w:r>
        <w:rPr>
          <w:lang w:val="ru-RU"/>
        </w:rPr>
        <w:t>См. пункт 3.3 настоящей главы.</w:t>
      </w:r>
    </w:p>
    <w:p w14:paraId="64FFBB71">
      <w:pPr>
        <w:pStyle w:val="12"/>
        <w:rPr>
          <w:rFonts w:eastAsia="楷体"/>
          <w:sz w:val="28"/>
          <w:szCs w:val="28"/>
        </w:rPr>
      </w:pPr>
      <w:bookmarkStart w:id="103" w:name="_Toc21529"/>
      <w:bookmarkStart w:id="104" w:name="_Toc15500"/>
      <w:bookmarkStart w:id="105" w:name="_Toc14087"/>
      <w:bookmarkStart w:id="106" w:name="_Toc8393"/>
      <w:bookmarkStart w:id="107" w:name="_Toc522694215"/>
      <w:bookmarkStart w:id="108" w:name="_Toc523252174"/>
      <w:bookmarkStart w:id="109" w:name="_Toc19560"/>
      <w:bookmarkStart w:id="110" w:name="_Toc18153"/>
      <w:bookmarkStart w:id="111" w:name="_Toc3474889"/>
      <w:bookmarkStart w:id="112" w:name="_Toc10009"/>
      <w:r>
        <w:rPr>
          <w:rFonts w:eastAsia="楷体"/>
          <w:sz w:val="28"/>
          <w:szCs w:val="28"/>
        </w:rPr>
        <w:t>3. 评审程序</w:t>
      </w:r>
      <w:bookmarkEnd w:id="103"/>
      <w:bookmarkEnd w:id="104"/>
      <w:bookmarkEnd w:id="105"/>
      <w:bookmarkEnd w:id="106"/>
      <w:bookmarkEnd w:id="107"/>
      <w:bookmarkEnd w:id="108"/>
      <w:bookmarkEnd w:id="109"/>
      <w:bookmarkEnd w:id="110"/>
      <w:bookmarkEnd w:id="111"/>
      <w:bookmarkEnd w:id="112"/>
      <w:r>
        <w:rPr>
          <w:rFonts w:eastAsia="楷体"/>
          <w:sz w:val="28"/>
          <w:szCs w:val="28"/>
        </w:rPr>
        <w:t>Процедура оценки</w:t>
      </w:r>
    </w:p>
    <w:p w14:paraId="72BCEE79">
      <w:pPr>
        <w:adjustRightInd w:val="0"/>
        <w:snapToGrid w:val="0"/>
        <w:spacing w:after="0" w:line="360" w:lineRule="auto"/>
        <w:ind w:firstLine="482" w:firstLineChars="200"/>
        <w:jc w:val="left"/>
        <w:rPr>
          <w:rFonts w:eastAsia="楷体"/>
          <w:b/>
          <w:bCs/>
          <w:kern w:val="0"/>
          <w:sz w:val="24"/>
          <w:szCs w:val="22"/>
        </w:rPr>
      </w:pPr>
      <w:bookmarkStart w:id="113" w:name="_Toc13832"/>
      <w:bookmarkStart w:id="114" w:name="_Toc3474890"/>
      <w:bookmarkStart w:id="115" w:name="_Toc19317"/>
      <w:bookmarkStart w:id="116" w:name="_Toc17579"/>
      <w:bookmarkStart w:id="117" w:name="_Toc523243241"/>
      <w:bookmarkStart w:id="118" w:name="_Toc27979"/>
      <w:bookmarkStart w:id="119" w:name="_Toc522694216"/>
      <w:bookmarkStart w:id="120" w:name="_Toc15741"/>
      <w:bookmarkStart w:id="121" w:name="_Toc13640"/>
      <w:r>
        <w:rPr>
          <w:rFonts w:eastAsia="楷体"/>
          <w:b/>
          <w:bCs/>
          <w:kern w:val="0"/>
          <w:sz w:val="24"/>
          <w:szCs w:val="22"/>
        </w:rPr>
        <w:t>3.1 初步评审</w:t>
      </w:r>
      <w:bookmarkEnd w:id="113"/>
      <w:bookmarkEnd w:id="114"/>
      <w:bookmarkEnd w:id="115"/>
      <w:bookmarkEnd w:id="116"/>
      <w:bookmarkEnd w:id="117"/>
      <w:bookmarkEnd w:id="118"/>
      <w:bookmarkEnd w:id="119"/>
      <w:bookmarkEnd w:id="120"/>
      <w:bookmarkEnd w:id="121"/>
      <w:r>
        <w:rPr>
          <w:rFonts w:eastAsia="楷体"/>
          <w:b/>
          <w:bCs/>
          <w:kern w:val="0"/>
          <w:sz w:val="24"/>
          <w:szCs w:val="22"/>
        </w:rPr>
        <w:t>Первоначальная проверка</w:t>
      </w:r>
    </w:p>
    <w:p w14:paraId="26D42CEF">
      <w:pPr>
        <w:adjustRightInd w:val="0"/>
        <w:snapToGrid w:val="0"/>
        <w:spacing w:after="0" w:line="360" w:lineRule="auto"/>
        <w:ind w:firstLine="480" w:firstLineChars="200"/>
        <w:jc w:val="left"/>
        <w:rPr>
          <w:rFonts w:eastAsia="楷体"/>
          <w:kern w:val="0"/>
          <w:sz w:val="24"/>
          <w:szCs w:val="24"/>
          <w:lang w:val="ru-RU" w:bidi="en-US"/>
        </w:rPr>
      </w:pPr>
      <w:r>
        <w:rPr>
          <w:rFonts w:eastAsia="楷体"/>
          <w:kern w:val="0"/>
          <w:sz w:val="24"/>
          <w:szCs w:val="24"/>
          <w:lang w:bidi="en-US"/>
        </w:rPr>
        <w:t>3.1.1 评审小组依据本章第2.1款规定的标准对响应文件进行初步评审。</w:t>
      </w:r>
      <w:r>
        <w:rPr>
          <w:rFonts w:eastAsia="楷体"/>
          <w:kern w:val="0"/>
          <w:sz w:val="24"/>
          <w:szCs w:val="24"/>
          <w:lang w:val="ru-RU" w:bidi="en-US"/>
        </w:rPr>
        <w:t>Оценочная комиссия проводит первоначальную проверку откликов в соответствии с критериями, указанными в пункте 2.1 данной главы.</w:t>
      </w:r>
    </w:p>
    <w:p w14:paraId="1F2A2689">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r>
        <w:rPr>
          <w:rFonts w:eastAsia="楷体"/>
          <w:kern w:val="0"/>
          <w:sz w:val="24"/>
          <w:szCs w:val="24"/>
          <w:lang w:val="ru-RU" w:bidi="en-US"/>
        </w:rPr>
        <w:t>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Если поставщик не представит разъяснения или исправления по требованию оценочной комиссии, его предложение может быть отклонено.</w:t>
      </w:r>
    </w:p>
    <w:p w14:paraId="4E9C4957">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3.1.3 供应商的书面澄清、说明和补正属于响应文件的组成部分，均应由法定代表人或其委托代理人签字，或加盖公章，并作为响应文件组成部分。</w:t>
      </w:r>
      <w:r>
        <w:rPr>
          <w:rFonts w:eastAsia="楷体"/>
          <w:kern w:val="0"/>
          <w:sz w:val="24"/>
          <w:szCs w:val="24"/>
          <w:lang w:val="ru-RU"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14:paraId="7C475B3F">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3.1.4 评审小组不接受供应商主动提出的澄清、说明或补正。</w:t>
      </w:r>
      <w:r>
        <w:rPr>
          <w:rFonts w:eastAsia="楷体"/>
          <w:kern w:val="0"/>
          <w:sz w:val="24"/>
          <w:szCs w:val="24"/>
          <w:lang w:val="ru-RU" w:bidi="en-US"/>
        </w:rPr>
        <w:t>Оценочная комиссия не принимает предложений по разъяснениям или исправлениям, сделанных поставщиком по собственной инициативе.</w:t>
      </w:r>
    </w:p>
    <w:p w14:paraId="332C631E">
      <w:pPr>
        <w:adjustRightInd w:val="0"/>
        <w:snapToGrid w:val="0"/>
        <w:spacing w:after="0" w:line="360" w:lineRule="auto"/>
        <w:ind w:firstLine="480" w:firstLineChars="200"/>
        <w:rPr>
          <w:rFonts w:eastAsia="楷体"/>
          <w:kern w:val="0"/>
          <w:sz w:val="24"/>
          <w:szCs w:val="24"/>
          <w:lang w:bidi="en-US"/>
        </w:rPr>
      </w:pPr>
      <w:r>
        <w:rPr>
          <w:rFonts w:eastAsia="楷体"/>
          <w:kern w:val="0"/>
          <w:sz w:val="24"/>
          <w:szCs w:val="24"/>
          <w:lang w:bidi="en-US"/>
        </w:rPr>
        <w:t>3.1.5 评审小组根据补充和完善后的响应文件判断供应商是否通过初步评审，有不符合评审标准的，按否决其报价处理。</w:t>
      </w:r>
      <w:r>
        <w:rPr>
          <w:rFonts w:eastAsia="楷体"/>
          <w:kern w:val="0"/>
          <w:sz w:val="24"/>
          <w:szCs w:val="24"/>
          <w:lang w:val="ru-RU" w:bidi="en-US"/>
        </w:rPr>
        <w:t xml:space="preserve">Оценочная комиссия решает, проходит ли поставщик первоначальную проверку на основе дополненных и исправленных откликов. </w:t>
      </w:r>
      <w:r>
        <w:rPr>
          <w:rFonts w:eastAsia="楷体"/>
          <w:kern w:val="0"/>
          <w:sz w:val="24"/>
          <w:szCs w:val="24"/>
          <w:lang w:bidi="en-US"/>
        </w:rPr>
        <w:t>Если отклик не соответствует критериям, он будет отклонен.</w:t>
      </w:r>
    </w:p>
    <w:p w14:paraId="1B82F738">
      <w:pPr>
        <w:adjustRightInd w:val="0"/>
        <w:snapToGrid w:val="0"/>
        <w:spacing w:after="0" w:line="360" w:lineRule="auto"/>
        <w:ind w:firstLine="482" w:firstLineChars="200"/>
        <w:jc w:val="left"/>
        <w:rPr>
          <w:rFonts w:eastAsia="楷体"/>
          <w:b/>
          <w:bCs/>
          <w:kern w:val="0"/>
          <w:sz w:val="24"/>
          <w:szCs w:val="22"/>
        </w:rPr>
      </w:pPr>
      <w:r>
        <w:rPr>
          <w:rFonts w:eastAsia="楷体"/>
          <w:b/>
          <w:bCs/>
          <w:kern w:val="0"/>
          <w:sz w:val="24"/>
          <w:szCs w:val="22"/>
        </w:rPr>
        <w:t>3.2  谈判Переговоры</w:t>
      </w:r>
    </w:p>
    <w:p w14:paraId="7CC13E08">
      <w:pPr>
        <w:adjustRightInd w:val="0"/>
        <w:snapToGrid w:val="0"/>
        <w:spacing w:after="0" w:line="360" w:lineRule="auto"/>
        <w:ind w:firstLine="480" w:firstLineChars="200"/>
        <w:rPr>
          <w:rFonts w:eastAsia="楷体"/>
          <w:kern w:val="0"/>
          <w:sz w:val="24"/>
          <w:szCs w:val="24"/>
          <w:lang w:bidi="en-US"/>
        </w:rPr>
      </w:pPr>
      <w:r>
        <w:rPr>
          <w:rFonts w:eastAsia="楷体"/>
          <w:kern w:val="0"/>
          <w:sz w:val="24"/>
          <w:szCs w:val="24"/>
          <w:lang w:bidi="en-US"/>
        </w:rPr>
        <w:t>3.2.1 本次采购谈判采用网上谈判方式。评审小组与通过初步评审的供应商分别进行谈判，并给予所有参加谈判的供应商平等的谈判机会。供应商在谈判中做出的承诺构成响应文件的组成部分。</w:t>
      </w:r>
      <w:r>
        <w:rPr>
          <w:rFonts w:eastAsia="楷体"/>
          <w:kern w:val="0"/>
          <w:sz w:val="24"/>
          <w:szCs w:val="24"/>
          <w:lang w:val="ru-RU" w:bidi="en-US"/>
        </w:rPr>
        <w:t xml:space="preserve">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w:t>
      </w:r>
      <w:r>
        <w:rPr>
          <w:rFonts w:eastAsia="楷体"/>
          <w:kern w:val="0"/>
          <w:sz w:val="24"/>
          <w:szCs w:val="24"/>
          <w:lang w:bidi="en-US"/>
        </w:rPr>
        <w:t>Обязательства, данные поставщиками в ходе переговоров, становятся частью отклика.</w:t>
      </w:r>
    </w:p>
    <w:p w14:paraId="16EBA26A">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3.2.2 在谈判过程中，在不实质性改变评审标准或改变可能影响初步评审结果的内容的情况下，经采购人同意后评审小组可根据谈判情况修改和补充采购文件中采购需求部分的技术、服务要求以及合同草案条款等内容，并通过</w:t>
      </w:r>
      <w:r>
        <w:rPr>
          <w:rFonts w:hint="eastAsia" w:eastAsia="楷体"/>
          <w:kern w:val="0"/>
          <w:sz w:val="24"/>
          <w:szCs w:val="24"/>
          <w:lang w:val="en-US" w:eastAsia="zh-CN" w:bidi="en-US"/>
        </w:rPr>
        <w:t>电子邮箱</w:t>
      </w:r>
      <w:r>
        <w:rPr>
          <w:rFonts w:eastAsia="楷体"/>
          <w:kern w:val="0"/>
          <w:sz w:val="24"/>
          <w:szCs w:val="24"/>
          <w:lang w:bidi="en-US"/>
        </w:rPr>
        <w:t>通知所有通过初步评审的供应商，修改和补充的内容构成采购文件的有效组成部分，供应商应按照采购文件修改和补充的内容及要求重新提交响应文件。</w:t>
      </w:r>
      <w:r>
        <w:rPr>
          <w:rFonts w:eastAsia="楷体"/>
          <w:kern w:val="0"/>
          <w:sz w:val="24"/>
          <w:szCs w:val="24"/>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з</w:t>
      </w:r>
      <w:r>
        <w:rPr>
          <w:b/>
          <w:bCs/>
          <w:sz w:val="24"/>
          <w:szCs w:val="24"/>
          <w:lang w:val="ru-RU"/>
        </w:rPr>
        <w:t xml:space="preserve">лектронная почта </w:t>
      </w:r>
      <w:r>
        <w:rPr>
          <w:rFonts w:eastAsia="楷体"/>
          <w:kern w:val="0"/>
          <w:sz w:val="24"/>
          <w:szCs w:val="24"/>
          <w:lang w:val="ru-RU" w:bidi="en-US"/>
        </w:rPr>
        <w:t>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14:paraId="00244854">
      <w:pPr>
        <w:adjustRightInd w:val="0"/>
        <w:snapToGrid w:val="0"/>
        <w:spacing w:after="0" w:line="360" w:lineRule="auto"/>
        <w:ind w:firstLine="482" w:firstLineChars="200"/>
        <w:jc w:val="left"/>
        <w:rPr>
          <w:rFonts w:eastAsia="楷体"/>
          <w:b/>
          <w:bCs/>
          <w:kern w:val="0"/>
          <w:sz w:val="24"/>
          <w:szCs w:val="22"/>
        </w:rPr>
      </w:pPr>
      <w:bookmarkStart w:id="122" w:name="_Toc2492"/>
      <w:bookmarkStart w:id="123" w:name="_Toc32741"/>
      <w:bookmarkStart w:id="124" w:name="_Toc3474891"/>
      <w:bookmarkStart w:id="125" w:name="_Toc14119"/>
      <w:bookmarkStart w:id="126" w:name="_Toc5512"/>
      <w:bookmarkStart w:id="127" w:name="_Toc19344"/>
      <w:bookmarkStart w:id="128" w:name="_Toc523243242"/>
      <w:bookmarkStart w:id="129" w:name="_Toc1752"/>
      <w:bookmarkStart w:id="130" w:name="_Toc522694217"/>
      <w:r>
        <w:rPr>
          <w:rFonts w:eastAsia="楷体"/>
          <w:b/>
          <w:bCs/>
          <w:kern w:val="0"/>
          <w:sz w:val="24"/>
          <w:szCs w:val="22"/>
        </w:rPr>
        <w:t>3.3 详细评审</w:t>
      </w:r>
      <w:bookmarkEnd w:id="122"/>
      <w:bookmarkEnd w:id="123"/>
      <w:bookmarkEnd w:id="124"/>
      <w:bookmarkEnd w:id="125"/>
      <w:bookmarkEnd w:id="126"/>
      <w:bookmarkEnd w:id="127"/>
      <w:bookmarkEnd w:id="128"/>
      <w:bookmarkEnd w:id="129"/>
      <w:bookmarkEnd w:id="130"/>
      <w:r>
        <w:rPr>
          <w:rFonts w:eastAsia="楷体"/>
          <w:b/>
          <w:bCs/>
          <w:kern w:val="0"/>
          <w:sz w:val="24"/>
          <w:szCs w:val="22"/>
        </w:rPr>
        <w:t>Подробная оценка</w:t>
      </w:r>
    </w:p>
    <w:p w14:paraId="7688583F">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评审小组按照公开谈判采购文件规定的评审方法对供应商的最终报价或最终方案进行详细评审。</w:t>
      </w:r>
      <w:r>
        <w:rPr>
          <w:rFonts w:eastAsia="楷体"/>
          <w:kern w:val="0"/>
          <w:sz w:val="24"/>
          <w:szCs w:val="24"/>
          <w:lang w:val="ru-RU"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14:paraId="2AFCB212">
      <w:pPr>
        <w:adjustRightInd w:val="0"/>
        <w:snapToGrid w:val="0"/>
        <w:spacing w:after="0" w:line="360" w:lineRule="auto"/>
        <w:ind w:firstLine="480" w:firstLineChars="200"/>
        <w:jc w:val="left"/>
        <w:rPr>
          <w:rFonts w:eastAsia="楷体"/>
          <w:kern w:val="0"/>
          <w:sz w:val="24"/>
          <w:szCs w:val="24"/>
          <w:lang w:bidi="en-US"/>
        </w:rPr>
      </w:pPr>
      <w:r>
        <w:rPr>
          <w:rFonts w:eastAsia="楷体"/>
          <w:kern w:val="0"/>
          <w:sz w:val="24"/>
          <w:szCs w:val="24"/>
          <w:lang w:bidi="en-US"/>
        </w:rPr>
        <w:t>3.3.1 价格评审Оценка цены</w:t>
      </w:r>
    </w:p>
    <w:p w14:paraId="5FEC92A7">
      <w:pPr>
        <w:adjustRightInd w:val="0"/>
        <w:snapToGrid w:val="0"/>
        <w:spacing w:after="0" w:line="360" w:lineRule="auto"/>
        <w:ind w:firstLine="480" w:firstLineChars="200"/>
        <w:jc w:val="left"/>
        <w:rPr>
          <w:rFonts w:eastAsia="楷体"/>
          <w:kern w:val="0"/>
          <w:sz w:val="24"/>
          <w:szCs w:val="24"/>
          <w:lang w:bidi="en-US"/>
        </w:rPr>
      </w:pPr>
      <w:r>
        <w:rPr>
          <w:rFonts w:eastAsia="楷体"/>
          <w:kern w:val="0"/>
          <w:sz w:val="24"/>
          <w:szCs w:val="24"/>
          <w:lang w:bidi="en-US"/>
        </w:rPr>
        <w:t>(1) 算术错误修正Исправление арифметических ошибок</w:t>
      </w:r>
    </w:p>
    <w:p w14:paraId="124734BA">
      <w:pPr>
        <w:adjustRightInd w:val="0"/>
        <w:snapToGrid w:val="0"/>
        <w:spacing w:after="0" w:line="360" w:lineRule="auto"/>
        <w:ind w:firstLine="480" w:firstLineChars="200"/>
        <w:rPr>
          <w:rFonts w:eastAsia="楷体"/>
          <w:kern w:val="0"/>
          <w:sz w:val="24"/>
          <w:szCs w:val="24"/>
          <w:lang w:bidi="en-US"/>
        </w:rPr>
      </w:pPr>
      <w:r>
        <w:rPr>
          <w:rFonts w:eastAsia="楷体"/>
          <w:kern w:val="0"/>
          <w:sz w:val="24"/>
          <w:szCs w:val="24"/>
          <w:lang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eastAsia="楷体"/>
          <w:kern w:val="0"/>
          <w:sz w:val="24"/>
          <w:szCs w:val="24"/>
          <w:lang w:val="ru-RU" w:bidi="en-US"/>
        </w:rPr>
        <w:t xml:space="preserve">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w:t>
      </w:r>
      <w:r>
        <w:rPr>
          <w:rFonts w:eastAsia="楷体"/>
          <w:kern w:val="0"/>
          <w:sz w:val="24"/>
          <w:szCs w:val="24"/>
          <w:lang w:bidi="en-US"/>
        </w:rPr>
        <w:t>Если поставщик не подтверждает исправленную цену, его предложение отклоняется.</w:t>
      </w:r>
    </w:p>
    <w:p w14:paraId="1E0E11DE">
      <w:pPr>
        <w:adjustRightInd w:val="0"/>
        <w:snapToGrid w:val="0"/>
        <w:spacing w:after="0" w:line="360" w:lineRule="auto"/>
        <w:ind w:firstLine="480" w:firstLineChars="200"/>
        <w:rPr>
          <w:rFonts w:eastAsia="楷体"/>
          <w:kern w:val="0"/>
          <w:sz w:val="24"/>
          <w:szCs w:val="24"/>
          <w:lang w:val="ru-RU" w:bidi="en-US"/>
        </w:rPr>
      </w:pPr>
      <w:r>
        <w:rPr>
          <w:rFonts w:hint="eastAsia" w:eastAsia="楷体"/>
          <w:kern w:val="0"/>
          <w:sz w:val="24"/>
          <w:szCs w:val="24"/>
          <w:lang w:val="en-US" w:eastAsia="zh-CN" w:bidi="en-US"/>
        </w:rPr>
        <w:t>1</w:t>
      </w:r>
      <w:r>
        <w:rPr>
          <w:rFonts w:eastAsia="楷体"/>
          <w:kern w:val="0"/>
          <w:sz w:val="24"/>
          <w:szCs w:val="24"/>
          <w:lang w:bidi="en-US"/>
        </w:rPr>
        <w:t>）最终响应文件中的大写金额与小写金额不一致的，以大写金额为准（但明显的文字书写错误和金额单位错误除外）。</w:t>
      </w:r>
      <w:r>
        <w:rPr>
          <w:rFonts w:eastAsia="楷体"/>
          <w:kern w:val="0"/>
          <w:sz w:val="24"/>
          <w:szCs w:val="24"/>
          <w:lang w:val="ru-RU"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14:paraId="3BEA7B78">
      <w:pPr>
        <w:adjustRightInd w:val="0"/>
        <w:snapToGrid w:val="0"/>
        <w:spacing w:after="0" w:line="360" w:lineRule="auto"/>
        <w:ind w:firstLine="480" w:firstLineChars="200"/>
        <w:rPr>
          <w:rFonts w:eastAsia="楷体"/>
          <w:kern w:val="0"/>
          <w:sz w:val="24"/>
          <w:szCs w:val="24"/>
          <w:lang w:val="ru-RU" w:bidi="en-US"/>
        </w:rPr>
      </w:pPr>
      <w:r>
        <w:rPr>
          <w:rFonts w:hint="eastAsia" w:eastAsia="楷体"/>
          <w:kern w:val="0"/>
          <w:sz w:val="24"/>
          <w:szCs w:val="24"/>
          <w:lang w:val="en-US" w:eastAsia="zh-CN" w:bidi="en-US"/>
        </w:rPr>
        <w:t>2</w:t>
      </w:r>
      <w:r>
        <w:rPr>
          <w:rFonts w:eastAsia="楷体"/>
          <w:kern w:val="0"/>
          <w:sz w:val="24"/>
          <w:szCs w:val="24"/>
          <w:lang w:val="ru-RU" w:bidi="en-US"/>
        </w:rPr>
        <w:t>）</w:t>
      </w:r>
      <w:r>
        <w:rPr>
          <w:rFonts w:eastAsia="楷体"/>
          <w:kern w:val="0"/>
          <w:sz w:val="24"/>
          <w:szCs w:val="24"/>
          <w:lang w:bidi="en-US"/>
        </w:rPr>
        <w:t>最终响应文件中的总价金额与单价金额不一致的</w:t>
      </w:r>
      <w:r>
        <w:rPr>
          <w:rFonts w:eastAsia="楷体"/>
          <w:kern w:val="0"/>
          <w:sz w:val="24"/>
          <w:szCs w:val="24"/>
          <w:lang w:val="ru-RU" w:bidi="en-US"/>
        </w:rPr>
        <w:t>，</w:t>
      </w:r>
      <w:r>
        <w:rPr>
          <w:rFonts w:eastAsia="楷体"/>
          <w:kern w:val="0"/>
          <w:sz w:val="24"/>
          <w:szCs w:val="24"/>
          <w:lang w:bidi="en-US"/>
        </w:rPr>
        <w:t>以单价金额为准</w:t>
      </w:r>
      <w:r>
        <w:rPr>
          <w:rFonts w:eastAsia="楷体"/>
          <w:kern w:val="0"/>
          <w:sz w:val="24"/>
          <w:szCs w:val="24"/>
          <w:lang w:val="ru-RU" w:bidi="en-US"/>
        </w:rPr>
        <w:t>，</w:t>
      </w:r>
      <w:r>
        <w:rPr>
          <w:rFonts w:eastAsia="楷体"/>
          <w:kern w:val="0"/>
          <w:sz w:val="24"/>
          <w:szCs w:val="24"/>
          <w:lang w:bidi="en-US"/>
        </w:rPr>
        <w:t>但单价金额小数点或者百分比有明显错误的除外</w:t>
      </w:r>
      <w:r>
        <w:rPr>
          <w:rFonts w:eastAsia="楷体"/>
          <w:kern w:val="0"/>
          <w:sz w:val="24"/>
          <w:szCs w:val="24"/>
          <w:lang w:val="ru-RU" w:bidi="en-US"/>
        </w:rPr>
        <w:t>；Если сумма в окончательном отклике не совпадает с суммой отдельных позиций, применяется сумма отдельных позиций.</w:t>
      </w:r>
    </w:p>
    <w:p w14:paraId="0386793A">
      <w:pPr>
        <w:adjustRightInd w:val="0"/>
        <w:snapToGrid w:val="0"/>
        <w:spacing w:after="0" w:line="360" w:lineRule="auto"/>
        <w:ind w:firstLine="480" w:firstLineChars="200"/>
        <w:jc w:val="left"/>
        <w:rPr>
          <w:rFonts w:eastAsia="楷体"/>
          <w:kern w:val="0"/>
          <w:sz w:val="24"/>
          <w:szCs w:val="24"/>
          <w:lang w:val="ru-RU" w:bidi="en-US"/>
        </w:rPr>
      </w:pPr>
      <w:r>
        <w:rPr>
          <w:rFonts w:hint="eastAsia" w:eastAsia="楷体"/>
          <w:kern w:val="0"/>
          <w:sz w:val="24"/>
          <w:szCs w:val="24"/>
          <w:lang w:val="en-US" w:eastAsia="zh-CN" w:bidi="en-US"/>
        </w:rPr>
        <w:t>3</w:t>
      </w:r>
      <w:r>
        <w:rPr>
          <w:rFonts w:eastAsia="楷体"/>
          <w:kern w:val="0"/>
          <w:sz w:val="24"/>
          <w:szCs w:val="24"/>
          <w:lang w:bidi="en-US"/>
        </w:rPr>
        <w:t>）最终响应文件中的合价金额与分项金额不一致的，以分项金额为准。</w:t>
      </w:r>
      <w:r>
        <w:rPr>
          <w:rFonts w:eastAsia="楷体"/>
          <w:kern w:val="0"/>
          <w:sz w:val="24"/>
          <w:szCs w:val="24"/>
          <w:lang w:val="ru-RU" w:bidi="en-US"/>
        </w:rPr>
        <w:t>Если общая сумма в окончательном отклике не совпадает с суммой отдельных позиций, применяется сумма отдельных позиций.</w:t>
      </w:r>
    </w:p>
    <w:p w14:paraId="3D20EAD7">
      <w:pPr>
        <w:adjustRightInd w:val="0"/>
        <w:snapToGrid w:val="0"/>
        <w:spacing w:after="0" w:line="360" w:lineRule="auto"/>
        <w:ind w:firstLine="480" w:firstLineChars="200"/>
        <w:jc w:val="left"/>
        <w:rPr>
          <w:rFonts w:eastAsia="楷体"/>
          <w:kern w:val="0"/>
          <w:sz w:val="24"/>
          <w:szCs w:val="24"/>
          <w:lang w:bidi="en-US"/>
        </w:rPr>
      </w:pPr>
      <w:r>
        <w:rPr>
          <w:rFonts w:eastAsia="楷体"/>
          <w:kern w:val="0"/>
          <w:sz w:val="24"/>
          <w:szCs w:val="24"/>
          <w:lang w:bidi="en-US"/>
        </w:rPr>
        <w:t>（2）评审价格修正Коррекция оценки цены</w:t>
      </w:r>
    </w:p>
    <w:p w14:paraId="01C5A2EC">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 xml:space="preserve">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Если в итоговом отклике список цен не соответствует заявленному объему закупки, и если имеются недоучтенные 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w:t>
      </w:r>
      <w:r>
        <w:rPr>
          <w:rFonts w:eastAsia="楷体"/>
          <w:kern w:val="0"/>
          <w:sz w:val="24"/>
          <w:szCs w:val="24"/>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14:paraId="46B03D4D">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val="ru-RU" w:bidi="en-US"/>
        </w:rPr>
        <w:t>1）</w:t>
      </w:r>
      <w:r>
        <w:rPr>
          <w:rFonts w:eastAsia="楷体"/>
          <w:kern w:val="0"/>
          <w:sz w:val="24"/>
          <w:szCs w:val="24"/>
          <w:lang w:bidi="en-US"/>
        </w:rPr>
        <w:t>存在漏报、少报采购内容</w:t>
      </w:r>
      <w:r>
        <w:rPr>
          <w:rFonts w:eastAsia="楷体"/>
          <w:kern w:val="0"/>
          <w:sz w:val="24"/>
          <w:szCs w:val="24"/>
          <w:lang w:val="ru-RU" w:bidi="en-US"/>
        </w:rPr>
        <w:t>（</w:t>
      </w:r>
      <w:r>
        <w:rPr>
          <w:rFonts w:eastAsia="楷体"/>
          <w:kern w:val="0"/>
          <w:sz w:val="24"/>
          <w:szCs w:val="24"/>
          <w:lang w:bidi="en-US"/>
        </w:rPr>
        <w:t>或数量</w:t>
      </w:r>
      <w:r>
        <w:rPr>
          <w:rFonts w:eastAsia="楷体"/>
          <w:kern w:val="0"/>
          <w:sz w:val="24"/>
          <w:szCs w:val="24"/>
          <w:lang w:val="ru-RU" w:bidi="en-US"/>
        </w:rPr>
        <w:t>）</w:t>
      </w:r>
      <w:r>
        <w:rPr>
          <w:rFonts w:eastAsia="楷体"/>
          <w:kern w:val="0"/>
          <w:sz w:val="24"/>
          <w:szCs w:val="24"/>
          <w:lang w:bidi="en-US"/>
        </w:rPr>
        <w:t>时</w:t>
      </w:r>
      <w:r>
        <w:rPr>
          <w:rFonts w:eastAsia="楷体"/>
          <w:kern w:val="0"/>
          <w:sz w:val="24"/>
          <w:szCs w:val="24"/>
          <w:lang w:val="ru-RU" w:bidi="en-US"/>
        </w:rPr>
        <w:t>，</w:t>
      </w:r>
      <w:r>
        <w:rPr>
          <w:rFonts w:eastAsia="楷体"/>
          <w:kern w:val="0"/>
          <w:sz w:val="24"/>
          <w:szCs w:val="24"/>
          <w:lang w:bidi="en-US"/>
        </w:rPr>
        <w:t>对于漏报</w:t>
      </w:r>
      <w:r>
        <w:rPr>
          <w:rFonts w:eastAsia="楷体"/>
          <w:kern w:val="0"/>
          <w:sz w:val="24"/>
          <w:szCs w:val="24"/>
          <w:lang w:val="ru-RU" w:bidi="en-US"/>
        </w:rPr>
        <w:t>，</w:t>
      </w:r>
      <w:r>
        <w:rPr>
          <w:rFonts w:eastAsia="楷体"/>
          <w:kern w:val="0"/>
          <w:sz w:val="24"/>
          <w:szCs w:val="24"/>
          <w:lang w:bidi="en-US"/>
        </w:rPr>
        <w:t>按照其他供应商最终响应报价中最高价或最不利于其成交的原则进行调整</w:t>
      </w:r>
      <w:r>
        <w:rPr>
          <w:rFonts w:eastAsia="楷体"/>
          <w:kern w:val="0"/>
          <w:sz w:val="24"/>
          <w:szCs w:val="24"/>
          <w:lang w:val="ru-RU" w:bidi="en-US"/>
        </w:rPr>
        <w:t>；</w:t>
      </w:r>
      <w:r>
        <w:rPr>
          <w:rFonts w:eastAsia="楷体"/>
          <w:kern w:val="0"/>
          <w:sz w:val="24"/>
          <w:szCs w:val="24"/>
          <w:lang w:bidi="en-US"/>
        </w:rPr>
        <w:t>对于少报</w:t>
      </w:r>
      <w:r>
        <w:rPr>
          <w:rFonts w:eastAsia="楷体"/>
          <w:kern w:val="0"/>
          <w:sz w:val="24"/>
          <w:szCs w:val="24"/>
          <w:lang w:val="ru-RU" w:bidi="en-US"/>
        </w:rPr>
        <w:t>，</w:t>
      </w:r>
      <w:r>
        <w:rPr>
          <w:rFonts w:eastAsia="楷体"/>
          <w:kern w:val="0"/>
          <w:sz w:val="24"/>
          <w:szCs w:val="24"/>
          <w:lang w:bidi="en-US"/>
        </w:rPr>
        <w:t>依据其报价和采购内容调整</w:t>
      </w:r>
      <w:r>
        <w:rPr>
          <w:rFonts w:eastAsia="楷体"/>
          <w:kern w:val="0"/>
          <w:sz w:val="24"/>
          <w:szCs w:val="24"/>
          <w:lang w:val="ru-RU" w:bidi="en-US"/>
        </w:rPr>
        <w:t>；Если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Для недоучтенных позиций будет произведена корректировка на основании предложения поставщика и объема закупки.</w:t>
      </w:r>
    </w:p>
    <w:p w14:paraId="01EF39E0">
      <w:pPr>
        <w:adjustRightInd w:val="0"/>
        <w:snapToGrid w:val="0"/>
        <w:spacing w:after="0" w:line="360" w:lineRule="auto"/>
        <w:ind w:firstLine="480" w:firstLineChars="200"/>
        <w:jc w:val="left"/>
        <w:rPr>
          <w:rFonts w:eastAsia="楷体"/>
          <w:kern w:val="0"/>
          <w:sz w:val="24"/>
          <w:szCs w:val="24"/>
          <w:lang w:val="ru-RU" w:bidi="en-US"/>
        </w:rPr>
      </w:pPr>
      <w:r>
        <w:rPr>
          <w:rFonts w:eastAsia="楷体"/>
          <w:kern w:val="0"/>
          <w:sz w:val="24"/>
          <w:szCs w:val="24"/>
          <w:lang w:bidi="en-US"/>
        </w:rPr>
        <w:t>2）存在超出采购人采购内容（或数量）多报的，则按照采购范围，依据其报价进行调整。</w:t>
      </w:r>
      <w:r>
        <w:rPr>
          <w:rFonts w:eastAsia="楷体"/>
          <w:kern w:val="0"/>
          <w:sz w:val="24"/>
          <w:szCs w:val="24"/>
          <w:lang w:val="ru-RU"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14:paraId="69957DCD">
      <w:pPr>
        <w:adjustRightInd w:val="0"/>
        <w:snapToGrid w:val="0"/>
        <w:spacing w:after="0" w:line="360" w:lineRule="auto"/>
        <w:ind w:firstLine="480" w:firstLineChars="200"/>
        <w:jc w:val="left"/>
        <w:rPr>
          <w:rFonts w:eastAsia="楷体"/>
          <w:kern w:val="0"/>
          <w:sz w:val="24"/>
          <w:szCs w:val="24"/>
          <w:lang w:bidi="en-US"/>
        </w:rPr>
      </w:pPr>
      <w:r>
        <w:rPr>
          <w:rFonts w:eastAsia="楷体"/>
          <w:kern w:val="0"/>
          <w:sz w:val="24"/>
          <w:szCs w:val="24"/>
          <w:lang w:bidi="en-US"/>
        </w:rPr>
        <w:t>（3）判断最终响应报价是否低于成本</w:t>
      </w:r>
    </w:p>
    <w:p w14:paraId="2395313F">
      <w:pPr>
        <w:adjustRightInd w:val="0"/>
        <w:snapToGrid w:val="0"/>
        <w:spacing w:after="0" w:line="360" w:lineRule="auto"/>
        <w:ind w:firstLine="480" w:firstLineChars="200"/>
        <w:jc w:val="left"/>
        <w:rPr>
          <w:rFonts w:eastAsia="楷体"/>
          <w:kern w:val="0"/>
          <w:sz w:val="24"/>
          <w:szCs w:val="24"/>
          <w:lang w:val="ru-RU" w:bidi="en-US"/>
        </w:rPr>
      </w:pPr>
      <w:r>
        <w:rPr>
          <w:rFonts w:eastAsia="楷体"/>
          <w:kern w:val="0"/>
          <w:sz w:val="24"/>
          <w:szCs w:val="24"/>
          <w:lang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eastAsia="楷体"/>
          <w:kern w:val="0"/>
          <w:sz w:val="24"/>
          <w:szCs w:val="24"/>
          <w:lang w:val="ru-RU" w:bidi="en-US"/>
        </w:rPr>
        <w:t>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14:paraId="286F63D4">
      <w:pPr>
        <w:adjustRightInd w:val="0"/>
        <w:snapToGrid w:val="0"/>
        <w:spacing w:after="0" w:line="360" w:lineRule="auto"/>
        <w:ind w:firstLine="480" w:firstLineChars="200"/>
        <w:jc w:val="left"/>
        <w:rPr>
          <w:rFonts w:eastAsia="楷体"/>
          <w:kern w:val="0"/>
          <w:sz w:val="24"/>
          <w:szCs w:val="24"/>
          <w:lang w:bidi="en-US"/>
        </w:rPr>
      </w:pPr>
      <w:r>
        <w:rPr>
          <w:rFonts w:eastAsia="楷体"/>
          <w:kern w:val="0"/>
          <w:sz w:val="24"/>
          <w:szCs w:val="24"/>
          <w:lang w:val="ru-RU" w:bidi="en-US"/>
        </w:rPr>
        <w:t xml:space="preserve"> </w:t>
      </w:r>
      <w:r>
        <w:rPr>
          <w:rFonts w:eastAsia="楷体"/>
          <w:kern w:val="0"/>
          <w:sz w:val="24"/>
          <w:szCs w:val="24"/>
          <w:lang w:bidi="en-US"/>
        </w:rPr>
        <w:t>（4）供应商应按采购文件规定的币种进行报价</w:t>
      </w:r>
    </w:p>
    <w:p w14:paraId="7C0A7500">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若报价币种与采购文件规定不符，则对各供应商提供的不同币种的报价按开启报价前一天中国银行公布的现汇买入价收盘价折算为采购文件规定的币种，汇率风险由供应商自行承担。</w:t>
      </w:r>
      <w:r>
        <w:rPr>
          <w:rFonts w:eastAsia="楷体"/>
          <w:kern w:val="0"/>
          <w:sz w:val="24"/>
          <w:szCs w:val="24"/>
          <w:lang w:val="ru-RU"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14:paraId="16069D55">
      <w:pPr>
        <w:adjustRightInd w:val="0"/>
        <w:snapToGrid w:val="0"/>
        <w:spacing w:after="0" w:line="360" w:lineRule="auto"/>
        <w:ind w:firstLine="482" w:firstLineChars="200"/>
        <w:jc w:val="left"/>
        <w:rPr>
          <w:rFonts w:eastAsia="楷体"/>
          <w:b/>
          <w:bCs/>
          <w:kern w:val="0"/>
          <w:sz w:val="24"/>
          <w:szCs w:val="22"/>
        </w:rPr>
      </w:pPr>
      <w:bookmarkStart w:id="131" w:name="_Toc26186"/>
      <w:bookmarkStart w:id="132" w:name="_Toc19399"/>
      <w:bookmarkStart w:id="133" w:name="_Toc10619"/>
      <w:bookmarkStart w:id="134" w:name="_Toc3474893"/>
      <w:bookmarkStart w:id="135" w:name="_Toc30983"/>
      <w:bookmarkStart w:id="136" w:name="_Toc522694219"/>
      <w:bookmarkStart w:id="137" w:name="_Toc8868"/>
      <w:bookmarkStart w:id="138" w:name="_Toc20515"/>
      <w:r>
        <w:rPr>
          <w:rFonts w:eastAsia="楷体"/>
          <w:b/>
          <w:bCs/>
          <w:kern w:val="0"/>
          <w:sz w:val="24"/>
          <w:szCs w:val="22"/>
        </w:rPr>
        <w:t>3.4 评审结果</w:t>
      </w:r>
      <w:bookmarkEnd w:id="131"/>
      <w:bookmarkEnd w:id="132"/>
      <w:bookmarkEnd w:id="133"/>
      <w:bookmarkEnd w:id="134"/>
      <w:bookmarkEnd w:id="135"/>
      <w:bookmarkEnd w:id="136"/>
      <w:bookmarkEnd w:id="137"/>
      <w:bookmarkEnd w:id="138"/>
      <w:r>
        <w:rPr>
          <w:rFonts w:eastAsia="楷体"/>
          <w:b/>
          <w:bCs/>
          <w:kern w:val="0"/>
          <w:sz w:val="24"/>
          <w:szCs w:val="22"/>
        </w:rPr>
        <w:t>Результаты оценки</w:t>
      </w:r>
    </w:p>
    <w:p w14:paraId="767149F1">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3.4.1 评审小组将按照评审办法前附表规定的顺序推荐预成交供应商。</w:t>
      </w:r>
      <w:r>
        <w:rPr>
          <w:rFonts w:eastAsia="楷体"/>
          <w:kern w:val="0"/>
          <w:sz w:val="24"/>
          <w:szCs w:val="24"/>
          <w:lang w:val="ru-RU"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14:paraId="248FC180">
      <w:pPr>
        <w:adjustRightInd w:val="0"/>
        <w:snapToGrid w:val="0"/>
        <w:spacing w:after="0" w:line="360" w:lineRule="auto"/>
        <w:ind w:firstLine="480" w:firstLineChars="200"/>
        <w:rPr>
          <w:rFonts w:eastAsia="楷体"/>
          <w:kern w:val="0"/>
          <w:sz w:val="24"/>
          <w:szCs w:val="24"/>
          <w:lang w:val="ru-RU" w:bidi="en-US"/>
        </w:rPr>
      </w:pPr>
      <w:r>
        <w:rPr>
          <w:rFonts w:eastAsia="楷体"/>
          <w:kern w:val="0"/>
          <w:sz w:val="24"/>
          <w:szCs w:val="24"/>
          <w:lang w:bidi="en-US"/>
        </w:rPr>
        <w:t>3.4.2 评审小组完成评审后，应当向采购人提交书面评审报告。</w:t>
      </w:r>
      <w:r>
        <w:rPr>
          <w:rFonts w:eastAsia="楷体"/>
          <w:kern w:val="0"/>
          <w:sz w:val="24"/>
          <w:szCs w:val="24"/>
          <w:lang w:val="ru-RU" w:bidi="en-US"/>
        </w:rPr>
        <w:t>По завершении оценки, оценочная комиссия должна представить письменный отчет о результатах оценки заказчику.</w:t>
      </w:r>
    </w:p>
    <w:p w14:paraId="41D2388B">
      <w:pPr>
        <w:adjustRightInd w:val="0"/>
        <w:snapToGrid w:val="0"/>
        <w:spacing w:after="0" w:line="360" w:lineRule="auto"/>
        <w:ind w:firstLine="480" w:firstLineChars="200"/>
        <w:jc w:val="left"/>
        <w:rPr>
          <w:rFonts w:hint="eastAsia" w:ascii="宋体" w:hAnsi="宋体"/>
          <w:kern w:val="0"/>
          <w:sz w:val="24"/>
          <w:szCs w:val="24"/>
          <w:lang w:bidi="en-US"/>
        </w:rPr>
        <w:sectPr>
          <w:headerReference r:id="rId9" w:type="default"/>
          <w:pgSz w:w="11906" w:h="16832"/>
          <w:pgMar w:top="1417" w:right="1417" w:bottom="1417" w:left="1417" w:header="851" w:footer="992" w:gutter="0"/>
          <w:pgNumType w:start="31"/>
          <w:cols w:space="720" w:num="1"/>
          <w:docGrid w:type="lines" w:linePitch="291" w:charSpace="0"/>
        </w:sectPr>
      </w:pPr>
    </w:p>
    <w:p w14:paraId="08673F10">
      <w:pPr>
        <w:pStyle w:val="2"/>
        <w:keepNext/>
        <w:keepLines/>
        <w:numPr>
          <w:ilvl w:val="0"/>
          <w:numId w:val="5"/>
        </w:numPr>
        <w:adjustRightInd w:val="0"/>
        <w:snapToGrid w:val="0"/>
        <w:spacing w:before="0" w:after="0" w:line="240" w:lineRule="auto"/>
        <w:ind w:left="0"/>
        <w:jc w:val="center"/>
        <w:rPr>
          <w:rFonts w:hint="eastAsia" w:ascii="Microsoft JhengHei" w:hAnsi="Microsoft JhengHei" w:eastAsia="黑体" w:cs="Microsoft JhengHei"/>
          <w:b w:val="0"/>
          <w:kern w:val="0"/>
          <w:sz w:val="36"/>
        </w:rPr>
      </w:pPr>
      <w:bookmarkStart w:id="139" w:name="_Toc15050"/>
      <w:r>
        <w:rPr>
          <w:rFonts w:hint="eastAsia" w:ascii="Microsoft JhengHei" w:hAnsi="Microsoft JhengHei" w:eastAsia="黑体" w:cs="Microsoft JhengHei"/>
          <w:b w:val="0"/>
          <w:kern w:val="0"/>
          <w:sz w:val="36"/>
        </w:rPr>
        <w:t>合同文件</w:t>
      </w:r>
      <w:bookmarkEnd w:id="68"/>
      <w:bookmarkEnd w:id="139"/>
      <w:r>
        <w:rPr>
          <w:rFonts w:eastAsia="黑体"/>
          <w:bCs w:val="0"/>
          <w:kern w:val="0"/>
          <w:sz w:val="32"/>
          <w:szCs w:val="32"/>
        </w:rPr>
        <w:t>Глава 4. Документы контракта</w:t>
      </w:r>
    </w:p>
    <w:p w14:paraId="6385B0BF">
      <w:pPr>
        <w:pStyle w:val="17"/>
        <w:jc w:val="center"/>
        <w:rPr>
          <w:rFonts w:hint="eastAsia" w:ascii="仿宋_GB2312" w:hAnsi="仿宋_GB2312" w:eastAsia="仿宋_GB2312" w:cs="仿宋_GB2312"/>
          <w:kern w:val="44"/>
          <w:sz w:val="28"/>
          <w:szCs w:val="28"/>
          <w:lang w:val="en-US" w:eastAsia="zh-CN"/>
        </w:rPr>
      </w:pPr>
      <w:r>
        <w:rPr>
          <w:rFonts w:hint="eastAsia" w:ascii="仿宋_GB2312" w:hAnsi="仿宋_GB2312" w:eastAsia="仿宋_GB2312" w:cs="仿宋_GB2312"/>
          <w:kern w:val="44"/>
          <w:sz w:val="28"/>
          <w:szCs w:val="28"/>
          <w:lang w:val="en-US" w:eastAsia="zh-CN"/>
        </w:rPr>
        <w:t>（单独成册）</w:t>
      </w:r>
    </w:p>
    <w:p w14:paraId="66000A66">
      <w:pPr>
        <w:pStyle w:val="17"/>
        <w:jc w:val="center"/>
        <w:rPr>
          <w:rFonts w:ascii="Microsoft JhengHei" w:hAnsi="Microsoft JhengHei" w:eastAsia="黑体" w:cs="Microsoft JhengHei"/>
          <w:kern w:val="0"/>
          <w:sz w:val="36"/>
          <w:lang w:eastAsia="zh-CN"/>
        </w:rPr>
      </w:pPr>
      <w:r>
        <w:t>(Отдельно в комплекте)</w:t>
      </w:r>
    </w:p>
    <w:p w14:paraId="04E914F4">
      <w:pPr>
        <w:pStyle w:val="17"/>
        <w:jc w:val="center"/>
        <w:rPr>
          <w:rFonts w:hint="eastAsia" w:ascii="仿宋_GB2312" w:hAnsi="仿宋_GB2312" w:eastAsia="仿宋_GB2312" w:cs="仿宋_GB2312"/>
          <w:kern w:val="44"/>
          <w:sz w:val="28"/>
          <w:szCs w:val="28"/>
          <w:lang w:val="en-US" w:eastAsia="zh-CN"/>
        </w:rPr>
      </w:pPr>
    </w:p>
    <w:p w14:paraId="5C555D16">
      <w:pPr>
        <w:pStyle w:val="19"/>
        <w:ind w:firstLine="420"/>
      </w:pPr>
    </w:p>
    <w:p w14:paraId="26FCF296">
      <w:pPr>
        <w:adjustRightInd w:val="0"/>
        <w:snapToGrid w:val="0"/>
        <w:spacing w:after="0" w:line="360" w:lineRule="auto"/>
        <w:ind w:firstLine="482" w:firstLineChars="200"/>
        <w:jc w:val="left"/>
        <w:rPr>
          <w:rFonts w:ascii="宋体" w:hAnsi="宋体" w:cs="宋体"/>
          <w:b/>
          <w:bCs/>
          <w:kern w:val="0"/>
          <w:sz w:val="24"/>
          <w:szCs w:val="22"/>
        </w:rPr>
      </w:pPr>
      <w:r>
        <w:rPr>
          <w:rFonts w:hint="eastAsia" w:ascii="宋体" w:hAnsi="宋体" w:cs="宋体"/>
          <w:b/>
          <w:bCs/>
          <w:kern w:val="0"/>
          <w:sz w:val="24"/>
          <w:szCs w:val="22"/>
        </w:rPr>
        <w:t>详见附件1.</w:t>
      </w:r>
      <w:r>
        <w:t>Смотрите приложение 1.</w:t>
      </w:r>
    </w:p>
    <w:p w14:paraId="1A1D69DF">
      <w:pPr>
        <w:adjustRightInd w:val="0"/>
        <w:snapToGrid w:val="0"/>
        <w:spacing w:after="0" w:line="360" w:lineRule="auto"/>
        <w:ind w:firstLine="482" w:firstLineChars="200"/>
        <w:jc w:val="left"/>
        <w:rPr>
          <w:rFonts w:hint="eastAsia" w:ascii="宋体" w:hAnsi="宋体" w:cs="宋体"/>
          <w:b/>
          <w:bCs/>
          <w:kern w:val="0"/>
          <w:sz w:val="24"/>
          <w:szCs w:val="22"/>
        </w:rPr>
      </w:pPr>
    </w:p>
    <w:p w14:paraId="4702E216">
      <w:pPr>
        <w:rPr>
          <w:rFonts w:cs="Arial"/>
          <w:sz w:val="24"/>
          <w:lang w:val="ru-RU"/>
        </w:rPr>
      </w:pPr>
    </w:p>
    <w:p w14:paraId="5683AA36">
      <w:pPr>
        <w:pStyle w:val="33"/>
        <w:widowControl/>
        <w:spacing w:before="100" w:beforeAutospacing="1" w:after="100" w:afterAutospacing="1" w:line="240" w:lineRule="auto"/>
        <w:ind w:left="685" w:firstLine="0"/>
        <w:jc w:val="left"/>
        <w:rPr>
          <w:b/>
          <w:bCs/>
          <w:kern w:val="0"/>
          <w:sz w:val="24"/>
          <w:szCs w:val="24"/>
          <w:lang w:val="ru-RU"/>
        </w:rPr>
      </w:pPr>
    </w:p>
    <w:p w14:paraId="71D3FBF2">
      <w:pPr>
        <w:pStyle w:val="33"/>
        <w:widowControl/>
        <w:spacing w:before="100" w:beforeAutospacing="1" w:after="100" w:afterAutospacing="1" w:line="240" w:lineRule="auto"/>
        <w:ind w:left="685" w:firstLine="0"/>
        <w:jc w:val="center"/>
        <w:rPr>
          <w:kern w:val="0"/>
          <w:sz w:val="24"/>
          <w:szCs w:val="24"/>
          <w:lang w:val="ru-RU"/>
        </w:rPr>
      </w:pPr>
    </w:p>
    <w:p w14:paraId="5FFD9194">
      <w:pPr>
        <w:pStyle w:val="33"/>
        <w:widowControl/>
        <w:spacing w:before="100" w:beforeAutospacing="1" w:after="100" w:afterAutospacing="1" w:line="240" w:lineRule="auto"/>
        <w:ind w:left="685" w:firstLine="0"/>
        <w:jc w:val="center"/>
        <w:rPr>
          <w:kern w:val="0"/>
          <w:sz w:val="24"/>
          <w:szCs w:val="24"/>
          <w:lang w:val="ru-RU"/>
        </w:rPr>
      </w:pPr>
    </w:p>
    <w:p w14:paraId="7B329725">
      <w:pPr>
        <w:pStyle w:val="33"/>
        <w:widowControl/>
        <w:spacing w:before="100" w:beforeAutospacing="1" w:after="100" w:afterAutospacing="1" w:line="240" w:lineRule="auto"/>
        <w:ind w:left="685" w:firstLine="0"/>
        <w:jc w:val="center"/>
        <w:rPr>
          <w:kern w:val="0"/>
          <w:sz w:val="24"/>
          <w:szCs w:val="24"/>
          <w:lang w:val="ru-RU"/>
        </w:rPr>
      </w:pPr>
    </w:p>
    <w:p w14:paraId="521379A5">
      <w:pPr>
        <w:pStyle w:val="33"/>
        <w:widowControl/>
        <w:spacing w:before="100" w:beforeAutospacing="1" w:after="100" w:afterAutospacing="1" w:line="240" w:lineRule="auto"/>
        <w:ind w:left="685" w:firstLine="0"/>
        <w:jc w:val="center"/>
        <w:rPr>
          <w:kern w:val="0"/>
          <w:sz w:val="24"/>
          <w:szCs w:val="24"/>
          <w:lang w:val="ru-RU"/>
        </w:rPr>
      </w:pPr>
    </w:p>
    <w:p w14:paraId="15D1C82C">
      <w:pPr>
        <w:pStyle w:val="33"/>
        <w:widowControl/>
        <w:spacing w:before="100" w:beforeAutospacing="1" w:after="100" w:afterAutospacing="1" w:line="240" w:lineRule="auto"/>
        <w:ind w:left="685" w:firstLine="0"/>
        <w:jc w:val="center"/>
        <w:rPr>
          <w:kern w:val="0"/>
          <w:sz w:val="24"/>
          <w:szCs w:val="24"/>
          <w:lang w:val="ru-RU"/>
        </w:rPr>
      </w:pPr>
    </w:p>
    <w:p w14:paraId="0CE2DB86">
      <w:pPr>
        <w:pStyle w:val="33"/>
        <w:widowControl/>
        <w:spacing w:before="100" w:beforeAutospacing="1" w:after="100" w:afterAutospacing="1" w:line="240" w:lineRule="auto"/>
        <w:ind w:left="685" w:firstLine="0"/>
        <w:jc w:val="center"/>
        <w:rPr>
          <w:kern w:val="0"/>
          <w:sz w:val="24"/>
          <w:szCs w:val="24"/>
          <w:lang w:val="ru-RU"/>
        </w:rPr>
      </w:pPr>
    </w:p>
    <w:p w14:paraId="3F1FCBC2">
      <w:pPr>
        <w:pStyle w:val="33"/>
        <w:widowControl/>
        <w:spacing w:before="100" w:beforeAutospacing="1" w:after="100" w:afterAutospacing="1" w:line="240" w:lineRule="auto"/>
        <w:ind w:left="685" w:firstLine="0"/>
        <w:jc w:val="center"/>
        <w:rPr>
          <w:kern w:val="0"/>
          <w:sz w:val="24"/>
          <w:szCs w:val="24"/>
          <w:lang w:val="ru-RU"/>
        </w:rPr>
      </w:pPr>
    </w:p>
    <w:p w14:paraId="74F053DD">
      <w:pPr>
        <w:pStyle w:val="33"/>
        <w:widowControl/>
        <w:spacing w:before="100" w:beforeAutospacing="1" w:after="100" w:afterAutospacing="1" w:line="240" w:lineRule="auto"/>
        <w:ind w:left="685" w:firstLine="0"/>
        <w:jc w:val="center"/>
        <w:rPr>
          <w:kern w:val="0"/>
          <w:sz w:val="24"/>
          <w:szCs w:val="24"/>
          <w:lang w:val="ru-RU"/>
        </w:rPr>
      </w:pPr>
    </w:p>
    <w:p w14:paraId="3D3E39EC">
      <w:pPr>
        <w:pStyle w:val="33"/>
        <w:widowControl/>
        <w:spacing w:before="100" w:beforeAutospacing="1" w:after="100" w:afterAutospacing="1" w:line="240" w:lineRule="auto"/>
        <w:ind w:left="685" w:firstLine="0"/>
        <w:jc w:val="center"/>
        <w:rPr>
          <w:kern w:val="0"/>
          <w:sz w:val="24"/>
          <w:szCs w:val="24"/>
          <w:lang w:val="ru-RU"/>
        </w:rPr>
      </w:pPr>
    </w:p>
    <w:p w14:paraId="6589837C">
      <w:pPr>
        <w:pStyle w:val="33"/>
        <w:widowControl/>
        <w:spacing w:before="100" w:beforeAutospacing="1" w:after="100" w:afterAutospacing="1" w:line="240" w:lineRule="auto"/>
        <w:ind w:left="685" w:firstLine="0"/>
        <w:jc w:val="center"/>
        <w:rPr>
          <w:kern w:val="0"/>
          <w:sz w:val="24"/>
          <w:szCs w:val="24"/>
          <w:lang w:val="ru-RU"/>
        </w:rPr>
      </w:pPr>
    </w:p>
    <w:p w14:paraId="5E9C4F51">
      <w:pPr>
        <w:pStyle w:val="33"/>
        <w:widowControl/>
        <w:spacing w:before="100" w:beforeAutospacing="1" w:after="100" w:afterAutospacing="1" w:line="240" w:lineRule="auto"/>
        <w:ind w:left="685" w:firstLine="0"/>
        <w:jc w:val="center"/>
        <w:rPr>
          <w:kern w:val="0"/>
          <w:sz w:val="24"/>
          <w:szCs w:val="24"/>
          <w:lang w:val="ru-RU"/>
        </w:rPr>
      </w:pPr>
    </w:p>
    <w:p w14:paraId="78236DEC">
      <w:pPr>
        <w:pStyle w:val="33"/>
        <w:widowControl/>
        <w:spacing w:before="100" w:beforeAutospacing="1" w:after="100" w:afterAutospacing="1" w:line="240" w:lineRule="auto"/>
        <w:ind w:left="685" w:firstLine="0"/>
        <w:jc w:val="center"/>
        <w:rPr>
          <w:kern w:val="0"/>
          <w:sz w:val="24"/>
          <w:szCs w:val="24"/>
          <w:lang w:val="ru-RU"/>
        </w:rPr>
      </w:pPr>
    </w:p>
    <w:p w14:paraId="43B42FFB">
      <w:pPr>
        <w:pStyle w:val="33"/>
        <w:widowControl/>
        <w:spacing w:before="100" w:beforeAutospacing="1" w:after="100" w:afterAutospacing="1" w:line="240" w:lineRule="auto"/>
        <w:ind w:left="685" w:firstLine="0"/>
        <w:jc w:val="center"/>
        <w:rPr>
          <w:kern w:val="0"/>
          <w:sz w:val="24"/>
          <w:szCs w:val="24"/>
          <w:lang w:val="ru-RU"/>
        </w:rPr>
      </w:pPr>
    </w:p>
    <w:p w14:paraId="57532807">
      <w:pPr>
        <w:pStyle w:val="33"/>
        <w:widowControl/>
        <w:spacing w:before="100" w:beforeAutospacing="1" w:after="100" w:afterAutospacing="1" w:line="240" w:lineRule="auto"/>
        <w:ind w:left="685" w:firstLine="0"/>
        <w:jc w:val="center"/>
        <w:rPr>
          <w:kern w:val="0"/>
          <w:sz w:val="24"/>
          <w:szCs w:val="24"/>
          <w:lang w:val="ru-RU"/>
        </w:rPr>
      </w:pPr>
    </w:p>
    <w:p w14:paraId="052CF806">
      <w:pPr>
        <w:pStyle w:val="33"/>
        <w:widowControl/>
        <w:spacing w:before="100" w:beforeAutospacing="1" w:after="100" w:afterAutospacing="1" w:line="240" w:lineRule="auto"/>
        <w:ind w:left="685" w:firstLine="0"/>
        <w:jc w:val="center"/>
        <w:rPr>
          <w:kern w:val="0"/>
          <w:sz w:val="24"/>
          <w:szCs w:val="24"/>
          <w:lang w:val="ru-RU"/>
        </w:rPr>
      </w:pPr>
    </w:p>
    <w:p w14:paraId="20DD335C">
      <w:pPr>
        <w:pStyle w:val="33"/>
        <w:widowControl/>
        <w:spacing w:before="100" w:beforeAutospacing="1" w:after="100" w:afterAutospacing="1" w:line="240" w:lineRule="auto"/>
        <w:ind w:left="685" w:firstLine="0"/>
        <w:jc w:val="center"/>
        <w:rPr>
          <w:kern w:val="0"/>
          <w:sz w:val="24"/>
          <w:szCs w:val="24"/>
          <w:lang w:val="ru-RU"/>
        </w:rPr>
      </w:pPr>
    </w:p>
    <w:p w14:paraId="0E6E865B">
      <w:pPr>
        <w:pStyle w:val="33"/>
        <w:widowControl/>
        <w:spacing w:before="100" w:beforeAutospacing="1" w:after="100" w:afterAutospacing="1" w:line="240" w:lineRule="auto"/>
        <w:ind w:left="685" w:firstLine="0"/>
        <w:jc w:val="center"/>
        <w:rPr>
          <w:kern w:val="0"/>
          <w:sz w:val="24"/>
          <w:szCs w:val="24"/>
          <w:lang w:val="ru-RU"/>
        </w:rPr>
      </w:pPr>
    </w:p>
    <w:p w14:paraId="5A60C9B8">
      <w:pPr>
        <w:pStyle w:val="33"/>
        <w:widowControl/>
        <w:spacing w:before="100" w:beforeAutospacing="1" w:after="100" w:afterAutospacing="1" w:line="240" w:lineRule="auto"/>
        <w:ind w:left="685" w:firstLine="0"/>
        <w:jc w:val="center"/>
        <w:rPr>
          <w:kern w:val="0"/>
          <w:sz w:val="24"/>
          <w:szCs w:val="24"/>
          <w:lang w:val="ru-RU"/>
        </w:rPr>
      </w:pPr>
    </w:p>
    <w:p w14:paraId="510A4EAD">
      <w:pPr>
        <w:pStyle w:val="33"/>
        <w:widowControl/>
        <w:spacing w:before="100" w:beforeAutospacing="1" w:after="100" w:afterAutospacing="1" w:line="240" w:lineRule="auto"/>
        <w:ind w:left="685" w:firstLine="0"/>
        <w:jc w:val="center"/>
        <w:rPr>
          <w:kern w:val="0"/>
          <w:sz w:val="24"/>
          <w:szCs w:val="24"/>
          <w:lang w:val="ru-RU"/>
        </w:rPr>
      </w:pPr>
    </w:p>
    <w:p w14:paraId="119E517A">
      <w:pPr>
        <w:jc w:val="center"/>
      </w:pPr>
      <w:bookmarkStart w:id="140" w:name="_Toc16530"/>
      <w:r>
        <w:rPr>
          <w:rFonts w:hint="eastAsia" w:ascii="Microsoft JhengHei" w:hAnsi="Microsoft JhengHei" w:eastAsia="黑体" w:cs="Microsoft JhengHei"/>
          <w:b w:val="0"/>
          <w:kern w:val="0"/>
          <w:sz w:val="36"/>
        </w:rPr>
        <w:t>技术</w:t>
      </w:r>
      <w:bookmarkEnd w:id="140"/>
      <w:r>
        <w:rPr>
          <w:rFonts w:hint="eastAsia" w:ascii="Microsoft JhengHei" w:hAnsi="Microsoft JhengHei" w:eastAsia="黑体" w:cs="Microsoft JhengHei"/>
          <w:b w:val="0"/>
          <w:kern w:val="0"/>
          <w:sz w:val="36"/>
          <w:lang w:val="en-US" w:eastAsia="zh-CN"/>
        </w:rPr>
        <w:t>规范书</w:t>
      </w:r>
      <w:r>
        <w:rPr>
          <w:rStyle w:val="23"/>
          <w:lang w:val="ru-RU"/>
        </w:rPr>
        <w:t>Глава 5. Технические требования</w:t>
      </w:r>
    </w:p>
    <w:p w14:paraId="16E1200D">
      <w:pPr>
        <w:pStyle w:val="2"/>
        <w:keepNext/>
        <w:keepLines/>
        <w:numPr>
          <w:ilvl w:val="0"/>
          <w:numId w:val="5"/>
        </w:numPr>
        <w:adjustRightInd w:val="0"/>
        <w:snapToGrid w:val="0"/>
        <w:spacing w:before="0" w:after="0" w:line="240" w:lineRule="auto"/>
        <w:ind w:left="0"/>
        <w:jc w:val="center"/>
        <w:rPr>
          <w:rFonts w:hint="eastAsia" w:ascii="Microsoft JhengHei" w:hAnsi="Microsoft JhengHei" w:eastAsia="黑体" w:cs="Microsoft JhengHei"/>
          <w:b w:val="0"/>
          <w:kern w:val="0"/>
          <w:sz w:val="36"/>
        </w:rPr>
      </w:pPr>
    </w:p>
    <w:p w14:paraId="509F1E02">
      <w:pPr>
        <w:ind w:left="4956" w:firstLine="708"/>
      </w:pPr>
      <w:bookmarkStart w:id="141" w:name="_Toc24849_WPSOffice_Level2"/>
    </w:p>
    <w:p w14:paraId="034F0BBF">
      <w:pPr>
        <w:numPr>
          <w:ilvl w:val="0"/>
          <w:numId w:val="6"/>
        </w:numPr>
        <w:tabs>
          <w:tab w:val="left" w:pos="6686"/>
        </w:tabs>
        <w:ind w:hanging="360"/>
        <w:jc w:val="center"/>
      </w:pPr>
      <w:r>
        <w:rPr>
          <w:rFonts w:hint="eastAsia"/>
          <w:b/>
          <w:lang w:val="en-US" w:eastAsia="zh-CN"/>
        </w:rPr>
        <w:t xml:space="preserve">  </w:t>
      </w:r>
      <w:r>
        <w:rPr>
          <w:b/>
        </w:rPr>
        <w:t>СПИСОК ДОКУМЕНТОВ</w:t>
      </w:r>
      <w:r>
        <w:rPr>
          <w:rFonts w:hint="default"/>
          <w:b/>
        </w:rPr>
        <w:t>文件清单</w:t>
      </w:r>
    </w:p>
    <w:p w14:paraId="4354EAED">
      <w:pPr>
        <w:tabs>
          <w:tab w:val="left" w:pos="6686"/>
        </w:tabs>
        <w:ind w:left="420" w:leftChars="200" w:firstLine="105" w:firstLineChars="50"/>
        <w:jc w:val="both"/>
      </w:pPr>
      <w:r>
        <w:t>передаваемых Заказчиком Исполнителю</w:t>
      </w:r>
      <w:r>
        <w:rPr>
          <w:rFonts w:hint="eastAsia" w:eastAsia="宋体"/>
          <w:lang w:val="en-US" w:eastAsia="zh-CN"/>
        </w:rPr>
        <w:t xml:space="preserve"> </w:t>
      </w:r>
      <w:r>
        <w:t>и подлежащих ежемесячной обработке</w:t>
      </w:r>
    </w:p>
    <w:p w14:paraId="4F14C34D">
      <w:pPr>
        <w:tabs>
          <w:tab w:val="left" w:pos="6686"/>
        </w:tabs>
        <w:jc w:val="both"/>
        <w:rPr>
          <w:rFonts w:hint="default" w:eastAsia="宋体"/>
          <w:lang w:val="en-US" w:eastAsia="zh-CN"/>
        </w:rPr>
      </w:pPr>
      <w:r>
        <w:rPr>
          <w:rFonts w:hint="eastAsia" w:eastAsia="宋体"/>
          <w:lang w:val="en-US" w:eastAsia="zh-CN"/>
        </w:rPr>
        <w:t xml:space="preserve">           由客户提交给承接方并需每月处理的</w:t>
      </w:r>
    </w:p>
    <w:p w14:paraId="6A954E84">
      <w:pPr>
        <w:tabs>
          <w:tab w:val="left" w:pos="6686"/>
        </w:tabs>
        <w:ind w:hanging="360"/>
        <w:jc w:val="both"/>
      </w:pPr>
      <w:r>
        <w:tab/>
      </w:r>
      <w:r>
        <w:t xml:space="preserve">         Комплект документов состоит из документации за истекший месяц и передаётся по описи не позднее 10-го числа следующего месяца. Передаваемые документы должны быть полностью оформлены и подписаны уполномоченными лицами.  </w:t>
      </w:r>
    </w:p>
    <w:p w14:paraId="6CF2136E">
      <w:pPr>
        <w:tabs>
          <w:tab w:val="left" w:pos="6686"/>
        </w:tabs>
        <w:ind w:hanging="360"/>
        <w:jc w:val="both"/>
      </w:pPr>
      <w:r>
        <w:rPr>
          <w:rFonts w:hint="eastAsia" w:eastAsia="宋体"/>
          <w:lang w:val="en-US" w:eastAsia="zh-CN"/>
        </w:rPr>
        <w:t xml:space="preserve">       文件套装包含上个月的文件，并应在次月10日前按清单提交。提交的文件必须完整填写并由授权人员签署。</w:t>
      </w:r>
    </w:p>
    <w:p w14:paraId="1DE046FE">
      <w:pPr>
        <w:numPr>
          <w:ilvl w:val="0"/>
          <w:numId w:val="7"/>
        </w:numPr>
        <w:tabs>
          <w:tab w:val="left" w:pos="6686"/>
        </w:tabs>
        <w:jc w:val="both"/>
      </w:pPr>
      <w:r>
        <w:t xml:space="preserve">Банковские документы </w:t>
      </w:r>
      <w:r>
        <w:rPr>
          <w:rFonts w:hint="eastAsia" w:eastAsia="宋体"/>
          <w:lang w:val="en-US" w:eastAsia="zh-CN"/>
        </w:rPr>
        <w:t>银行文件</w:t>
      </w:r>
    </w:p>
    <w:p w14:paraId="401044A2">
      <w:pPr>
        <w:numPr>
          <w:ilvl w:val="1"/>
          <w:numId w:val="8"/>
        </w:numPr>
        <w:tabs>
          <w:tab w:val="left" w:pos="6686"/>
        </w:tabs>
        <w:jc w:val="both"/>
      </w:pPr>
      <w:r>
        <w:t>Выписки</w:t>
      </w:r>
      <w:r>
        <w:rPr>
          <w:rFonts w:hint="eastAsia" w:eastAsia="宋体"/>
          <w:lang w:val="en-US" w:eastAsia="zh-CN"/>
        </w:rPr>
        <w:t xml:space="preserve"> 银行流水单</w:t>
      </w:r>
    </w:p>
    <w:p w14:paraId="4B25C3D5">
      <w:pPr>
        <w:numPr>
          <w:ilvl w:val="1"/>
          <w:numId w:val="8"/>
        </w:numPr>
        <w:tabs>
          <w:tab w:val="left" w:pos="6686"/>
        </w:tabs>
        <w:jc w:val="both"/>
      </w:pPr>
      <w:r>
        <w:t>платёжные поручения</w:t>
      </w:r>
      <w:r>
        <w:rPr>
          <w:rFonts w:hint="eastAsia" w:eastAsia="宋体"/>
          <w:lang w:val="en-US" w:eastAsia="zh-CN"/>
        </w:rPr>
        <w:t xml:space="preserve"> 付款单</w:t>
      </w:r>
    </w:p>
    <w:p w14:paraId="02D69913">
      <w:pPr>
        <w:numPr>
          <w:ilvl w:val="0"/>
          <w:numId w:val="7"/>
        </w:numPr>
        <w:tabs>
          <w:tab w:val="left" w:pos="6686"/>
        </w:tabs>
        <w:jc w:val="both"/>
      </w:pPr>
      <w:r>
        <w:t xml:space="preserve">Документы от поставщиков </w:t>
      </w:r>
      <w:r>
        <w:rPr>
          <w:rFonts w:hint="default"/>
        </w:rPr>
        <w:t>供应商提供的文件</w:t>
      </w:r>
    </w:p>
    <w:p w14:paraId="7DBB2772">
      <w:pPr>
        <w:numPr>
          <w:ilvl w:val="1"/>
          <w:numId w:val="7"/>
        </w:numPr>
        <w:tabs>
          <w:tab w:val="left" w:pos="6686"/>
        </w:tabs>
        <w:jc w:val="both"/>
      </w:pPr>
      <w:r>
        <w:t>договоры</w:t>
      </w:r>
      <w:r>
        <w:rPr>
          <w:rFonts w:hint="eastAsia" w:eastAsia="宋体"/>
          <w:lang w:val="en-US" w:eastAsia="zh-CN"/>
        </w:rPr>
        <w:t>合同</w:t>
      </w:r>
    </w:p>
    <w:p w14:paraId="0FE52D71">
      <w:pPr>
        <w:numPr>
          <w:ilvl w:val="1"/>
          <w:numId w:val="7"/>
        </w:numPr>
        <w:tabs>
          <w:tab w:val="left" w:pos="6686"/>
        </w:tabs>
        <w:jc w:val="both"/>
      </w:pPr>
      <w:r>
        <w:t>Счета</w:t>
      </w:r>
      <w:r>
        <w:rPr>
          <w:rFonts w:hint="eastAsia" w:eastAsia="宋体"/>
          <w:lang w:val="en-US" w:eastAsia="zh-CN"/>
        </w:rPr>
        <w:t xml:space="preserve"> 账户</w:t>
      </w:r>
    </w:p>
    <w:p w14:paraId="660CF72E">
      <w:pPr>
        <w:numPr>
          <w:ilvl w:val="1"/>
          <w:numId w:val="7"/>
        </w:numPr>
        <w:tabs>
          <w:tab w:val="left" w:pos="6686"/>
        </w:tabs>
        <w:jc w:val="both"/>
      </w:pPr>
      <w:r>
        <w:t>Акты</w:t>
      </w:r>
      <w:r>
        <w:rPr>
          <w:rFonts w:hint="eastAsia" w:eastAsia="宋体"/>
          <w:lang w:val="en-US" w:eastAsia="zh-CN"/>
        </w:rPr>
        <w:t xml:space="preserve"> 对账单</w:t>
      </w:r>
    </w:p>
    <w:p w14:paraId="1A738338">
      <w:pPr>
        <w:numPr>
          <w:ilvl w:val="1"/>
          <w:numId w:val="7"/>
        </w:numPr>
        <w:tabs>
          <w:tab w:val="left" w:pos="6686"/>
        </w:tabs>
        <w:jc w:val="both"/>
      </w:pPr>
      <w:r>
        <w:t>Накладные</w:t>
      </w:r>
      <w:r>
        <w:rPr>
          <w:rFonts w:hint="eastAsia" w:eastAsia="宋体"/>
          <w:lang w:val="en-US" w:eastAsia="zh-CN"/>
        </w:rPr>
        <w:t xml:space="preserve"> 提货单</w:t>
      </w:r>
    </w:p>
    <w:p w14:paraId="5C7DB736">
      <w:pPr>
        <w:numPr>
          <w:ilvl w:val="1"/>
          <w:numId w:val="7"/>
        </w:numPr>
        <w:tabs>
          <w:tab w:val="left" w:pos="6686"/>
        </w:tabs>
        <w:jc w:val="both"/>
      </w:pPr>
      <w:r>
        <w:t>счета-фактуры</w:t>
      </w:r>
      <w:r>
        <w:rPr>
          <w:rFonts w:hint="eastAsia" w:eastAsia="宋体"/>
          <w:lang w:val="en-US" w:eastAsia="zh-CN"/>
        </w:rPr>
        <w:t xml:space="preserve"> 发票</w:t>
      </w:r>
    </w:p>
    <w:p w14:paraId="5DEA717A">
      <w:pPr>
        <w:numPr>
          <w:ilvl w:val="0"/>
          <w:numId w:val="7"/>
        </w:numPr>
        <w:tabs>
          <w:tab w:val="left" w:pos="6686"/>
        </w:tabs>
        <w:jc w:val="both"/>
      </w:pPr>
      <w:r>
        <w:t>Документы от покупателей</w:t>
      </w:r>
      <w:r>
        <w:rPr>
          <w:rFonts w:hint="default"/>
        </w:rPr>
        <w:t>买方的文件</w:t>
      </w:r>
      <w:r>
        <w:rPr>
          <w:rFonts w:hint="eastAsia" w:eastAsia="宋体"/>
          <w:lang w:val="en-US" w:eastAsia="zh-CN"/>
        </w:rPr>
        <w:t xml:space="preserve">  </w:t>
      </w:r>
    </w:p>
    <w:p w14:paraId="06102D84">
      <w:pPr>
        <w:tabs>
          <w:tab w:val="left" w:pos="6686"/>
        </w:tabs>
        <w:jc w:val="both"/>
        <w:rPr>
          <w:rFonts w:hint="eastAsia" w:eastAsia="宋体"/>
          <w:lang w:val="en-US" w:eastAsia="zh-CN"/>
        </w:rPr>
      </w:pPr>
      <w:r>
        <w:t>3.1. договоры</w:t>
      </w:r>
      <w:r>
        <w:rPr>
          <w:rFonts w:hint="eastAsia" w:eastAsia="宋体"/>
          <w:lang w:val="en-US" w:eastAsia="zh-CN"/>
        </w:rPr>
        <w:t>合同</w:t>
      </w:r>
    </w:p>
    <w:p w14:paraId="35AECC6A">
      <w:pPr>
        <w:tabs>
          <w:tab w:val="left" w:pos="6686"/>
        </w:tabs>
        <w:jc w:val="both"/>
      </w:pPr>
      <w:r>
        <w:t>3.2. счета</w:t>
      </w:r>
      <w:r>
        <w:rPr>
          <w:rFonts w:hint="eastAsia" w:eastAsia="宋体"/>
          <w:lang w:val="en-US" w:eastAsia="zh-CN"/>
        </w:rPr>
        <w:t>账户</w:t>
      </w:r>
    </w:p>
    <w:p w14:paraId="0DE4BF79">
      <w:pPr>
        <w:tabs>
          <w:tab w:val="left" w:pos="6686"/>
        </w:tabs>
        <w:jc w:val="both"/>
      </w:pPr>
      <w:r>
        <w:t>3.3. акты</w:t>
      </w:r>
      <w:r>
        <w:rPr>
          <w:rFonts w:hint="eastAsia" w:eastAsia="宋体"/>
          <w:lang w:val="en-US" w:eastAsia="zh-CN"/>
        </w:rPr>
        <w:t>对账单</w:t>
      </w:r>
    </w:p>
    <w:p w14:paraId="1B924AF1">
      <w:pPr>
        <w:tabs>
          <w:tab w:val="left" w:pos="6686"/>
        </w:tabs>
        <w:jc w:val="both"/>
      </w:pPr>
      <w:r>
        <w:t>3.4. накладные</w:t>
      </w:r>
      <w:r>
        <w:rPr>
          <w:rFonts w:hint="eastAsia" w:eastAsia="宋体"/>
          <w:lang w:val="en-US" w:eastAsia="zh-CN"/>
        </w:rPr>
        <w:t>提货单</w:t>
      </w:r>
    </w:p>
    <w:p w14:paraId="5651CC0D">
      <w:pPr>
        <w:tabs>
          <w:tab w:val="left" w:pos="6686"/>
        </w:tabs>
        <w:jc w:val="both"/>
      </w:pPr>
      <w:r>
        <w:t>3.5. счета-фактуры</w:t>
      </w:r>
      <w:r>
        <w:rPr>
          <w:rFonts w:hint="eastAsia" w:eastAsia="宋体"/>
          <w:lang w:val="en-US" w:eastAsia="zh-CN"/>
        </w:rPr>
        <w:t>发票</w:t>
      </w:r>
    </w:p>
    <w:p w14:paraId="1B0DFA06">
      <w:pPr>
        <w:numPr>
          <w:ilvl w:val="0"/>
          <w:numId w:val="7"/>
        </w:numPr>
        <w:tabs>
          <w:tab w:val="left" w:pos="6686"/>
        </w:tabs>
        <w:jc w:val="both"/>
      </w:pPr>
      <w:r>
        <w:t>Кассовые документы</w:t>
      </w:r>
      <w:r>
        <w:rPr>
          <w:rFonts w:hint="eastAsia" w:eastAsia="宋体"/>
          <w:lang w:val="en-US" w:eastAsia="zh-CN"/>
        </w:rPr>
        <w:t xml:space="preserve"> 现金文件</w:t>
      </w:r>
    </w:p>
    <w:p w14:paraId="023D6FDB">
      <w:pPr>
        <w:numPr>
          <w:ilvl w:val="1"/>
          <w:numId w:val="7"/>
        </w:numPr>
        <w:tabs>
          <w:tab w:val="left" w:pos="6686"/>
        </w:tabs>
        <w:jc w:val="both"/>
      </w:pPr>
      <w:r>
        <w:t>Чеки и квитанции от поставщиков</w:t>
      </w:r>
      <w:r>
        <w:rPr>
          <w:rFonts w:hint="eastAsia" w:eastAsia="宋体"/>
          <w:lang w:val="en-US" w:eastAsia="zh-CN"/>
        </w:rPr>
        <w:t>现金小票</w:t>
      </w:r>
    </w:p>
    <w:p w14:paraId="55CFF1C1">
      <w:pPr>
        <w:numPr>
          <w:ilvl w:val="0"/>
          <w:numId w:val="7"/>
        </w:numPr>
        <w:tabs>
          <w:tab w:val="left" w:pos="6686"/>
        </w:tabs>
        <w:jc w:val="both"/>
      </w:pPr>
      <w:r>
        <w:t>Заявления о приёме на работу и увольнении, документы на сотрудников, штатное расписание.</w:t>
      </w:r>
      <w:r>
        <w:rPr>
          <w:rFonts w:hint="default"/>
        </w:rPr>
        <w:t>录用与解雇申请、员工档案、编制表。</w:t>
      </w:r>
    </w:p>
    <w:p w14:paraId="2A4845A9">
      <w:pPr>
        <w:numPr>
          <w:ilvl w:val="0"/>
          <w:numId w:val="7"/>
        </w:numPr>
        <w:tabs>
          <w:tab w:val="left" w:pos="6686"/>
        </w:tabs>
        <w:jc w:val="both"/>
      </w:pPr>
      <w:r>
        <w:t>Чеки и квитанции, оплаченные подотчётными лицами, авансовые отчёты</w:t>
      </w:r>
      <w:r>
        <w:rPr>
          <w:rFonts w:hint="default"/>
        </w:rPr>
        <w:t>由报销人员支付的收据和凭证，预支款报告</w:t>
      </w:r>
    </w:p>
    <w:p w14:paraId="31A5383B">
      <w:pPr>
        <w:numPr>
          <w:ilvl w:val="0"/>
          <w:numId w:val="7"/>
        </w:numPr>
        <w:tabs>
          <w:tab w:val="left" w:pos="6686"/>
        </w:tabs>
        <w:jc w:val="both"/>
      </w:pPr>
      <w:r>
        <w:t>Финансовая переписка (если есть)</w:t>
      </w:r>
      <w:r>
        <w:rPr>
          <w:rFonts w:hint="default"/>
        </w:rPr>
        <w:t>财务往来函件（如有）</w:t>
      </w:r>
    </w:p>
    <w:p w14:paraId="2A6B03D8">
      <w:pPr>
        <w:numPr>
          <w:ilvl w:val="0"/>
          <w:numId w:val="7"/>
        </w:numPr>
        <w:tabs>
          <w:tab w:val="left" w:pos="6686"/>
        </w:tabs>
        <w:jc w:val="both"/>
      </w:pPr>
      <w:r>
        <w:t>Прочие бухгалтерские документы.</w:t>
      </w:r>
      <w:r>
        <w:rPr>
          <w:rFonts w:hint="default"/>
        </w:rPr>
        <w:t>其他会计单据。</w:t>
      </w:r>
    </w:p>
    <w:p w14:paraId="667F2D7A">
      <w:pPr>
        <w:tabs>
          <w:tab w:val="left" w:pos="6686"/>
        </w:tabs>
        <w:jc w:val="both"/>
      </w:pPr>
    </w:p>
    <w:p w14:paraId="2F99D16C">
      <w:pPr>
        <w:tabs>
          <w:tab w:val="left" w:pos="6686"/>
        </w:tabs>
        <w:jc w:val="both"/>
      </w:pPr>
      <w:r>
        <w:t xml:space="preserve"> Возврат документов осуществляется полным комплектом после сдачи отчётности и окончания взаиморасчётов за отчётный период.</w:t>
      </w:r>
    </w:p>
    <w:p w14:paraId="380085C3">
      <w:pPr>
        <w:tabs>
          <w:tab w:val="left" w:pos="6686"/>
        </w:tabs>
        <w:jc w:val="both"/>
      </w:pPr>
      <w:r>
        <w:t xml:space="preserve"> </w:t>
      </w:r>
      <w:r>
        <w:rPr>
          <w:rFonts w:hint="default"/>
        </w:rPr>
        <w:t xml:space="preserve"> 文件将在提交报告并完成报告期内的相互结算后，以完整套件形式予以返还。</w:t>
      </w:r>
    </w:p>
    <w:p w14:paraId="0704350B">
      <w:pPr>
        <w:tabs>
          <w:tab w:val="left" w:pos="6686"/>
        </w:tabs>
        <w:jc w:val="both"/>
        <w:rPr>
          <w:sz w:val="18"/>
        </w:rPr>
      </w:pPr>
    </w:p>
    <w:p w14:paraId="47738CFC">
      <w:pPr>
        <w:tabs>
          <w:tab w:val="left" w:pos="6686"/>
        </w:tabs>
        <w:ind w:left="-360"/>
        <w:jc w:val="both"/>
        <w:rPr>
          <w:sz w:val="18"/>
        </w:rPr>
      </w:pPr>
    </w:p>
    <w:p w14:paraId="00B9539C">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497E70C2">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72A1E048">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49FEA5A9">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77263F9D">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6479687F">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6EE964B0">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556F9A1F">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7C3FC20C">
      <w:pPr>
        <w:spacing w:line="360" w:lineRule="auto"/>
        <w:ind w:firstLine="1265" w:firstLineChars="600"/>
        <w:jc w:val="both"/>
        <w:rPr>
          <w:rFonts w:hint="eastAsia"/>
          <w:b/>
          <w:color w:val="000000" w:themeColor="text1"/>
          <w:lang w:val="en-US" w:eastAsia="zh-CN"/>
          <w14:textFill>
            <w14:solidFill>
              <w14:schemeClr w14:val="tx1"/>
            </w14:solidFill>
          </w14:textFill>
        </w:rPr>
      </w:pPr>
    </w:p>
    <w:p w14:paraId="5F2A2E0F">
      <w:pPr>
        <w:spacing w:line="360" w:lineRule="auto"/>
        <w:ind w:firstLine="1265" w:firstLineChars="600"/>
        <w:jc w:val="both"/>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二、</w:t>
      </w:r>
      <w:r>
        <w:rPr>
          <w:b/>
          <w:color w:val="000000" w:themeColor="text1"/>
          <w14:textFill>
            <w14:solidFill>
              <w14:schemeClr w14:val="tx1"/>
            </w14:solidFill>
          </w14:textFill>
        </w:rPr>
        <w:t>Перечень услуг,оказываемый исполнителем Заказчику</w:t>
      </w:r>
    </w:p>
    <w:p w14:paraId="7035D0A2">
      <w:pPr>
        <w:spacing w:line="360" w:lineRule="auto"/>
        <w:ind w:firstLine="2530" w:firstLineChars="1200"/>
        <w:jc w:val="both"/>
        <w:rPr>
          <w:rFonts w:eastAsiaTheme="minorHAnsi"/>
          <w:bCs/>
          <w:color w:val="000000" w:themeColor="text1"/>
          <w:sz w:val="28"/>
          <w:szCs w:val="28"/>
          <w:lang w:eastAsia="en-US"/>
          <w14:textFill>
            <w14:solidFill>
              <w14:schemeClr w14:val="tx1"/>
            </w14:solidFill>
          </w14:textFill>
        </w:rPr>
      </w:pPr>
      <w:r>
        <w:rPr>
          <w:rFonts w:hint="default"/>
          <w:b/>
          <w:color w:val="000000" w:themeColor="text1"/>
          <w14:textFill>
            <w14:solidFill>
              <w14:schemeClr w14:val="tx1"/>
            </w14:solidFill>
          </w14:textFill>
        </w:rPr>
        <w:t>承包商向客户提供的服务清单</w:t>
      </w:r>
    </w:p>
    <w:p w14:paraId="7037F059">
      <w:pPr>
        <w:numPr>
          <w:ilvl w:val="0"/>
          <w:numId w:val="9"/>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Первичные документы – разноска, выставление и учёт.</w:t>
      </w:r>
    </w:p>
    <w:p w14:paraId="167A8334">
      <w:pPr>
        <w:numPr>
          <w:ilvl w:val="0"/>
          <w:numId w:val="0"/>
        </w:numPr>
        <w:spacing w:after="200" w:line="276" w:lineRule="auto"/>
        <w:ind w:left="360" w:leftChars="0"/>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原始凭证——记账、开具与核算。</w:t>
      </w:r>
    </w:p>
    <w:p w14:paraId="5F11F572">
      <w:pPr>
        <w:numPr>
          <w:ilvl w:val="0"/>
          <w:numId w:val="9"/>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Обучение кассиров работе с первичными документами.</w:t>
      </w:r>
    </w:p>
    <w:p w14:paraId="2D8CC4DC">
      <w:pPr>
        <w:numPr>
          <w:ilvl w:val="0"/>
          <w:numId w:val="0"/>
        </w:numPr>
        <w:spacing w:after="200" w:line="276" w:lineRule="auto"/>
        <w:ind w:left="360" w:leftChars="0"/>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收银员处理原始凭证。</w:t>
      </w:r>
    </w:p>
    <w:p w14:paraId="52024974">
      <w:pPr>
        <w:numPr>
          <w:ilvl w:val="0"/>
          <w:numId w:val="9"/>
        </w:numPr>
        <w:spacing w:after="200" w:line="276" w:lineRule="auto"/>
        <w:contextualSpacing/>
        <w:jc w:val="both"/>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 xml:space="preserve">Ведение бухгалтерского учёта, работы с программой «1С» </w:t>
      </w:r>
      <w:r>
        <w:rPr>
          <w:rFonts w:hint="default" w:ascii="Times New Roman" w:hAnsi="Times New Roman" w:cs="Times New Roman" w:eastAsiaTheme="minorEastAsia"/>
          <w:bCs/>
          <w:color w:val="000000" w:themeColor="text1"/>
          <w:sz w:val="24"/>
          <w:szCs w:val="24"/>
          <w14:textFill>
            <w14:solidFill>
              <w14:schemeClr w14:val="tx1"/>
            </w14:solidFill>
          </w14:textFill>
        </w:rPr>
        <w:t>в облаке.</w:t>
      </w:r>
    </w:p>
    <w:p w14:paraId="4408F2AB">
      <w:pPr>
        <w:numPr>
          <w:ilvl w:val="0"/>
          <w:numId w:val="0"/>
        </w:numPr>
        <w:spacing w:after="200" w:line="276" w:lineRule="auto"/>
        <w:ind w:left="360" w:leftChars="0"/>
        <w:contextualSpacing/>
        <w:jc w:val="both"/>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Cs/>
          <w:color w:val="000000" w:themeColor="text1"/>
          <w:sz w:val="24"/>
          <w:szCs w:val="24"/>
          <w14:textFill>
            <w14:solidFill>
              <w14:schemeClr w14:val="tx1"/>
            </w14:solidFill>
          </w14:textFill>
        </w:rPr>
        <w:t>“1C”软件进行会计核算</w:t>
      </w:r>
    </w:p>
    <w:p w14:paraId="3B7AFB14">
      <w:pPr>
        <w:numPr>
          <w:ilvl w:val="0"/>
          <w:numId w:val="9"/>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Исчисление налогов и других обязательных платежей в бюджет.</w:t>
      </w:r>
    </w:p>
    <w:p w14:paraId="1078C8CE">
      <w:pPr>
        <w:numPr>
          <w:ilvl w:val="0"/>
          <w:numId w:val="0"/>
        </w:numPr>
        <w:spacing w:after="200" w:line="276" w:lineRule="auto"/>
        <w:ind w:left="360" w:leftChars="0"/>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计算税款及其他预算</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并</w:t>
      </w:r>
      <w:r>
        <w:rPr>
          <w:rFonts w:hint="default" w:ascii="Times New Roman" w:hAnsi="Times New Roman" w:cs="Times New Roman" w:eastAsiaTheme="minorEastAsia"/>
          <w:color w:val="000000" w:themeColor="text1"/>
          <w:sz w:val="24"/>
          <w:szCs w:val="24"/>
          <w14:textFill>
            <w14:solidFill>
              <w14:schemeClr w14:val="tx1"/>
            </w14:solidFill>
          </w14:textFill>
        </w:rPr>
        <w:t>支付。</w:t>
      </w:r>
    </w:p>
    <w:p w14:paraId="728E4A12">
      <w:pPr>
        <w:numPr>
          <w:ilvl w:val="0"/>
          <w:numId w:val="9"/>
        </w:numPr>
        <w:spacing w:after="200" w:line="276" w:lineRule="auto"/>
        <w:ind w:left="0" w:leftChars="0" w:firstLine="0" w:firstLineChars="0"/>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eastAsiaTheme="minorEastAsia"/>
          <w:bCs/>
          <w:color w:val="000000" w:themeColor="text1"/>
          <w:sz w:val="24"/>
          <w:szCs w:val="24"/>
          <w14:textFill>
            <w14:solidFill>
              <w14:schemeClr w14:val="tx1"/>
            </w14:solidFill>
          </w14:textFill>
        </w:rPr>
        <w:t>Подготовка и сдача налоговых отчётов форм 300, 320, 328, 700, 701, 200, 100 и других форм налоговой отчётности.</w:t>
      </w:r>
    </w:p>
    <w:p w14:paraId="18FA059F">
      <w:pPr>
        <w:numPr>
          <w:ilvl w:val="0"/>
          <w:numId w:val="0"/>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准备并提交300、320、328、700、701、200、100等税务申报表及其他税务报告表格。</w:t>
      </w:r>
    </w:p>
    <w:p w14:paraId="283D5A84">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Выписка электронных счетов-фактур (ЭСФ).开具电子发票（</w:t>
      </w: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电子发票</w:t>
      </w:r>
      <w:r>
        <w:rPr>
          <w:rFonts w:hint="default" w:ascii="Times New Roman" w:hAnsi="Times New Roman" w:cs="Times New Roman" w:eastAsiaTheme="minorEastAsia"/>
          <w:bCs/>
          <w:color w:val="000000" w:themeColor="text1"/>
          <w:sz w:val="24"/>
          <w:szCs w:val="24"/>
          <w14:textFill>
            <w14:solidFill>
              <w14:schemeClr w14:val="tx1"/>
            </w14:solidFill>
          </w14:textFill>
        </w:rPr>
        <w:t>）。</w:t>
      </w:r>
    </w:p>
    <w:p w14:paraId="248E7E78">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pP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Ведение виртуального склада.管理仓库。</w:t>
      </w:r>
    </w:p>
    <w:p w14:paraId="00EFDCA1">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Подготовка и сдача статистических форм отчётности.编制并提交统计报表。</w:t>
      </w:r>
    </w:p>
    <w:p w14:paraId="2EC3372E">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Начисление заработной платы, расчёт налогов и отчислений с заработной платы и фонда оплаты труда. 核算工资，计算工资税及工资基金扣除款项。</w:t>
      </w:r>
    </w:p>
    <w:p w14:paraId="65392B2F">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Ведение интернет-банкинга.管理网上银行。</w:t>
      </w:r>
    </w:p>
    <w:p w14:paraId="41302B43">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Ежедневный мониторинг онлайн контрольно-кассовых машин (ККМ).每日</w:t>
      </w: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网银操作</w:t>
      </w:r>
      <w:r>
        <w:rPr>
          <w:rFonts w:hint="default" w:ascii="Times New Roman" w:hAnsi="Times New Roman" w:cs="Times New Roman" w:eastAsiaTheme="minorEastAsia"/>
          <w:bCs/>
          <w:color w:val="000000" w:themeColor="text1"/>
          <w:sz w:val="24"/>
          <w:szCs w:val="24"/>
          <w14:textFill>
            <w14:solidFill>
              <w14:schemeClr w14:val="tx1"/>
            </w14:solidFill>
          </w14:textFill>
        </w:rPr>
        <w:t>。</w:t>
      </w:r>
    </w:p>
    <w:p w14:paraId="3A79D364">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Мониторинг кабинета налогоплательщика.监控纳税人账户。</w:t>
      </w:r>
    </w:p>
    <w:p w14:paraId="51A4860C">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Финансовый отчёт по требованию.按要求提供财务报告。</w:t>
      </w:r>
    </w:p>
    <w:p w14:paraId="7FA7A3D1">
      <w:pPr>
        <w:numPr>
          <w:ilvl w:val="0"/>
          <w:numId w:val="9"/>
        </w:numPr>
        <w:spacing w:after="200" w:line="276" w:lineRule="auto"/>
        <w:contextualSpacing/>
        <w:jc w:val="both"/>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Cs/>
          <w:color w:val="000000" w:themeColor="text1"/>
          <w:sz w:val="24"/>
          <w:szCs w:val="24"/>
          <w14:textFill>
            <w14:solidFill>
              <w14:schemeClr w14:val="tx1"/>
            </w14:solidFill>
          </w14:textFill>
        </w:rPr>
        <w:t xml:space="preserve"> Консультации и рекомендации по вопросам налогового законодательства, а также законодательства, регулирующего бухгалтерскую деятельность предприятия.就税法及企业会计活动相关法规提供咨询。</w:t>
      </w:r>
    </w:p>
    <w:p w14:paraId="7D3D8715">
      <w:pPr>
        <w:numPr>
          <w:ilvl w:val="0"/>
          <w:numId w:val="9"/>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Составление и сдача отчётов в Национальный банк.编制并向</w:t>
      </w:r>
      <w:r>
        <w:rPr>
          <w:rFonts w:hint="default" w:ascii="Times New Roman" w:hAnsi="Times New Roman" w:cs="Times New Roman" w:eastAsiaTheme="minorEastAsia"/>
          <w:color w:val="000000" w:themeColor="text1"/>
          <w:sz w:val="24"/>
          <w:szCs w:val="24"/>
          <w:highlight w:val="yellow"/>
          <w14:textFill>
            <w14:solidFill>
              <w14:schemeClr w14:val="tx1"/>
            </w14:solidFill>
          </w14:textFill>
        </w:rPr>
        <w:t>国家银行</w:t>
      </w:r>
      <w:r>
        <w:rPr>
          <w:rFonts w:hint="default" w:ascii="Times New Roman" w:hAnsi="Times New Roman" w:cs="Times New Roman" w:eastAsiaTheme="minorEastAsia"/>
          <w:color w:val="000000" w:themeColor="text1"/>
          <w:sz w:val="24"/>
          <w:szCs w:val="24"/>
          <w14:textFill>
            <w14:solidFill>
              <w14:schemeClr w14:val="tx1"/>
            </w14:solidFill>
          </w14:textFill>
        </w:rPr>
        <w:t>提交报告。</w:t>
      </w:r>
    </w:p>
    <w:p w14:paraId="69761454">
      <w:pPr>
        <w:numPr>
          <w:ilvl w:val="0"/>
          <w:numId w:val="9"/>
        </w:numPr>
        <w:spacing w:after="200" w:line="276" w:lineRule="auto"/>
        <w:contextualSpacing/>
        <w:jc w:val="both"/>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 xml:space="preserve"> Составление дополнительных отчётов по финансовой деятельности для сторонних организаций.为第三方机构编制财务活动的补充报告。</w:t>
      </w:r>
    </w:p>
    <w:p w14:paraId="5FCA80B1">
      <w:pPr>
        <w:jc w:val="both"/>
        <w:rPr>
          <w:rFonts w:eastAsiaTheme="minorHAnsi"/>
          <w:color w:val="000000" w:themeColor="text1"/>
          <w:sz w:val="28"/>
          <w:szCs w:val="28"/>
          <w:lang w:eastAsia="en-US"/>
          <w14:textFill>
            <w14:solidFill>
              <w14:schemeClr w14:val="tx1"/>
            </w14:solidFill>
          </w14:textFill>
        </w:rPr>
      </w:pPr>
    </w:p>
    <w:bookmarkEnd w:id="141"/>
    <w:p w14:paraId="6B3D7E06">
      <w:pPr>
        <w:pStyle w:val="3"/>
        <w:rPr>
          <w:rFonts w:hint="default" w:asciiTheme="minorHAnsi" w:hAnsiTheme="minorHAnsi"/>
          <w:lang w:val="ru-RU"/>
        </w:rPr>
      </w:pPr>
    </w:p>
    <w:p w14:paraId="4E323ADC">
      <w:pPr>
        <w:rPr>
          <w:lang w:val="ru-RU"/>
        </w:rPr>
      </w:pPr>
    </w:p>
    <w:p w14:paraId="75DBD5A5">
      <w:pPr>
        <w:adjustRightInd w:val="0"/>
        <w:snapToGrid w:val="0"/>
        <w:spacing w:line="560" w:lineRule="exact"/>
        <w:jc w:val="center"/>
        <w:outlineLvl w:val="0"/>
        <w:rPr>
          <w:rFonts w:hint="eastAsia" w:ascii="方正小标宋简体" w:hAnsi="方正小标宋简体" w:eastAsia="方正小标宋简体" w:cs="方正小标宋简体"/>
          <w:kern w:val="44"/>
          <w:sz w:val="44"/>
          <w:szCs w:val="44"/>
        </w:rPr>
      </w:pPr>
      <w:bookmarkStart w:id="142" w:name="_Toc8904_WPSOffice_Level1"/>
      <w:bookmarkStart w:id="143" w:name="_Toc4904"/>
      <w:r>
        <w:rPr>
          <w:rFonts w:hint="eastAsia" w:ascii="方正小标宋简体" w:hAnsi="方正小标宋简体" w:eastAsia="方正小标宋简体" w:cs="方正小标宋简体"/>
          <w:kern w:val="44"/>
          <w:sz w:val="44"/>
          <w:szCs w:val="44"/>
        </w:rPr>
        <w:t>第六章 响应文件</w:t>
      </w:r>
      <w:bookmarkEnd w:id="142"/>
      <w:r>
        <w:rPr>
          <w:rFonts w:hint="eastAsia" w:ascii="方正小标宋简体" w:hAnsi="方正小标宋简体" w:eastAsia="方正小标宋简体" w:cs="方正小标宋简体"/>
          <w:kern w:val="44"/>
          <w:sz w:val="44"/>
          <w:szCs w:val="44"/>
        </w:rPr>
        <w:t>格式</w:t>
      </w:r>
      <w:bookmarkEnd w:id="143"/>
    </w:p>
    <w:p w14:paraId="1C382CCE">
      <w:pPr>
        <w:adjustRightInd w:val="0"/>
        <w:snapToGrid w:val="0"/>
        <w:spacing w:line="560" w:lineRule="exact"/>
        <w:jc w:val="center"/>
        <w:outlineLvl w:val="0"/>
        <w:rPr>
          <w:rFonts w:ascii="方正小标宋简体" w:hAnsi="方正小标宋简体" w:eastAsia="方正小标宋简体" w:cs="方正小标宋简体"/>
          <w:b/>
          <w:bCs/>
          <w:kern w:val="44"/>
          <w:sz w:val="32"/>
          <w:szCs w:val="32"/>
        </w:rPr>
      </w:pPr>
      <w:r>
        <w:rPr>
          <w:b/>
          <w:bCs/>
          <w:sz w:val="32"/>
          <w:szCs w:val="32"/>
        </w:rPr>
        <w:t>Глава 6. Формат отклика</w:t>
      </w:r>
    </w:p>
    <w:p w14:paraId="4A63E503">
      <w:pPr>
        <w:pStyle w:val="5"/>
        <w:ind w:firstLine="880"/>
        <w:rPr>
          <w:rFonts w:hint="eastAsia" w:ascii="方正小标宋简体" w:hAnsi="方正小标宋简体" w:eastAsia="方正小标宋简体" w:cs="方正小标宋简体"/>
          <w:color w:val="FF0000"/>
          <w:kern w:val="44"/>
          <w:sz w:val="44"/>
          <w:szCs w:val="44"/>
        </w:rPr>
      </w:pPr>
    </w:p>
    <w:p w14:paraId="35A88E03">
      <w:pPr>
        <w:pStyle w:val="10"/>
        <w:jc w:val="center"/>
        <w:rPr>
          <w:rFonts w:eastAsia="方正小标宋_GBK"/>
          <w:b/>
          <w:bCs/>
          <w:sz w:val="36"/>
          <w:szCs w:val="36"/>
        </w:rPr>
      </w:pPr>
      <w:r>
        <w:rPr>
          <w:rFonts w:hint="eastAsia" w:ascii="方正小标宋_GBK" w:hAnsi="方正小标宋_GBK" w:eastAsia="方正小标宋_GBK" w:cs="方正小标宋_GBK"/>
          <w:sz w:val="36"/>
          <w:szCs w:val="36"/>
        </w:rPr>
        <w:t>哈萨克斯坦阿克套燃机项目</w:t>
      </w:r>
      <w:r>
        <w:rPr>
          <w:rFonts w:hint="eastAsia" w:ascii="方正小标宋_GBK" w:hAnsi="方正小标宋_GBK" w:eastAsia="方正小标宋_GBK" w:cs="方正小标宋_GBK"/>
          <w:sz w:val="36"/>
          <w:szCs w:val="36"/>
          <w:lang w:val="en-US" w:eastAsia="zh-CN"/>
        </w:rPr>
        <w:t>会计代理</w:t>
      </w:r>
      <w:r>
        <w:rPr>
          <w:rFonts w:hint="eastAsia" w:ascii="方正小标宋_GBK" w:hAnsi="方正小标宋_GBK" w:eastAsia="方正小标宋_GBK" w:cs="方正小标宋_GBK"/>
          <w:sz w:val="36"/>
          <w:szCs w:val="36"/>
        </w:rPr>
        <w:t>服务</w:t>
      </w:r>
    </w:p>
    <w:p w14:paraId="69A693A8">
      <w:pPr>
        <w:spacing w:line="440" w:lineRule="exact"/>
        <w:ind w:firstLine="420" w:firstLineChars="200"/>
        <w:jc w:val="left"/>
        <w:outlineLvl w:val="2"/>
        <w:rPr>
          <w:rFonts w:hint="eastAsia" w:eastAsia="黑体"/>
          <w:bCs/>
          <w:sz w:val="28"/>
          <w:szCs w:val="28"/>
          <w:lang w:val="ru-RU"/>
        </w:rPr>
      </w:pPr>
      <w:r>
        <w:rPr>
          <w:rFonts w:hint="default" w:ascii="Times New Roman" w:hAnsi="Times New Roman" w:eastAsia="宋体" w:cs="Times New Roman"/>
          <w:b w:val="0"/>
          <w:lang w:val="en-US" w:eastAsia="zh-CN"/>
        </w:rPr>
        <w:t>Y</w:t>
      </w:r>
      <w:r>
        <w:rPr>
          <w:rFonts w:ascii="Times New Roman" w:hAnsi="Times New Roman" w:eastAsia="宋体" w:cs="Times New Roman"/>
          <w:b w:val="0"/>
          <w:sz w:val="21"/>
          <w:szCs w:val="20"/>
          <w:lang w:val="ru-RU"/>
        </w:rPr>
        <w:t>слуг по ведению бухгалтерского учета</w:t>
      </w:r>
      <w:r>
        <w:rPr>
          <w:sz w:val="24"/>
          <w:szCs w:val="24"/>
          <w:lang w:val="ru-RU"/>
        </w:rPr>
        <w:t xml:space="preserve"> строительства газотурбинной установки в Актау</w:t>
      </w:r>
    </w:p>
    <w:p w14:paraId="02966CE6">
      <w:pPr>
        <w:pStyle w:val="10"/>
        <w:jc w:val="center"/>
        <w:rPr>
          <w:rFonts w:ascii="隶书" w:eastAsia="隶书"/>
          <w:sz w:val="84"/>
        </w:rPr>
      </w:pPr>
    </w:p>
    <w:p w14:paraId="46F1F135">
      <w:pPr>
        <w:pStyle w:val="10"/>
        <w:jc w:val="center"/>
        <w:rPr>
          <w:rFonts w:ascii="隶书" w:eastAsia="隶书"/>
          <w:sz w:val="84"/>
        </w:rPr>
      </w:pPr>
      <w:r>
        <w:rPr>
          <w:rFonts w:hint="eastAsia" w:ascii="隶书" w:eastAsia="隶书"/>
          <w:sz w:val="84"/>
        </w:rPr>
        <w:t>响应文件</w:t>
      </w:r>
      <w:r>
        <w:rPr>
          <w:rFonts w:ascii="Times New Roman" w:hAnsi="Times New Roman" w:cs="Times New Roman"/>
          <w:lang w:val="ru-RU"/>
        </w:rPr>
        <w:t>Отклик</w:t>
      </w:r>
    </w:p>
    <w:p w14:paraId="6D91630A">
      <w:pPr>
        <w:pStyle w:val="10"/>
        <w:jc w:val="center"/>
        <w:rPr>
          <w:rFonts w:ascii="隶书" w:eastAsia="隶书"/>
          <w:sz w:val="84"/>
        </w:rPr>
      </w:pPr>
    </w:p>
    <w:p w14:paraId="33FFCA1E">
      <w:pPr>
        <w:adjustRightInd w:val="0"/>
        <w:snapToGrid w:val="0"/>
        <w:spacing w:before="120" w:after="0" w:line="360" w:lineRule="auto"/>
        <w:jc w:val="center"/>
        <w:rPr>
          <w:rFonts w:hint="eastAsia" w:ascii="宋体" w:hAnsi="宋体" w:cs="宋体"/>
          <w:kern w:val="0"/>
          <w:sz w:val="32"/>
          <w:szCs w:val="32"/>
        </w:rPr>
      </w:pPr>
      <w:r>
        <w:rPr>
          <w:rFonts w:hint="eastAsia" w:ascii="宋体" w:hAnsi="宋体" w:cs="宋体"/>
          <w:kern w:val="0"/>
          <w:sz w:val="32"/>
          <w:szCs w:val="32"/>
        </w:rPr>
        <w:t>采购编号：</w:t>
      </w:r>
    </w:p>
    <w:p w14:paraId="4311451E">
      <w:pPr>
        <w:pStyle w:val="19"/>
        <w:ind w:firstLine="420"/>
        <w:jc w:val="center"/>
        <w:rPr>
          <w:rFonts w:hint="default" w:ascii="Times New Roman" w:hAnsi="Times New Roman" w:eastAsia="宋体"/>
          <w:lang w:val="en-US" w:eastAsia="zh-CN"/>
        </w:rPr>
      </w:pPr>
      <w:r>
        <w:rPr>
          <w:rFonts w:hint="default" w:ascii="Times New Roman" w:hAnsi="Times New Roman"/>
          <w:lang w:val="ru-RU"/>
        </w:rPr>
        <w:t xml:space="preserve">Номер закупки: </w:t>
      </w:r>
    </w:p>
    <w:p w14:paraId="2621B0B3">
      <w:pPr>
        <w:pStyle w:val="19"/>
        <w:rPr>
          <w:rFonts w:hint="eastAsia"/>
        </w:rPr>
      </w:pPr>
    </w:p>
    <w:p w14:paraId="35BB8C7A">
      <w:pPr>
        <w:pStyle w:val="3"/>
        <w:rPr>
          <w:rFonts w:ascii="黑体" w:eastAsia="黑体"/>
          <w:sz w:val="32"/>
          <w:szCs w:val="32"/>
          <w:lang w:val="ru-RU"/>
        </w:rPr>
      </w:pPr>
      <w:r>
        <w:rPr>
          <w:lang w:val="ru-RU"/>
        </w:rPr>
        <w:t xml:space="preserve"> </w:t>
      </w:r>
      <w:r>
        <w:rPr>
          <w:rFonts w:hint="eastAsia" w:ascii="黑体" w:eastAsia="黑体"/>
          <w:sz w:val="32"/>
          <w:szCs w:val="32"/>
        </w:rPr>
        <w:t>供应商</w:t>
      </w:r>
      <w:r>
        <w:rPr>
          <w:rFonts w:ascii="黑体" w:eastAsia="黑体"/>
          <w:sz w:val="32"/>
          <w:szCs w:val="32"/>
          <w:lang w:val="ru-RU"/>
        </w:rPr>
        <w:t>：</w:t>
      </w:r>
      <w:r>
        <w:rPr>
          <w:rFonts w:hint="default" w:ascii="Times New Roman" w:hAnsi="Times New Roman" w:cs="Times New Roman"/>
          <w:lang w:val="ru-RU"/>
        </w:rPr>
        <w:t>Поставщик</w:t>
      </w:r>
    </w:p>
    <w:p w14:paraId="154BB6FD">
      <w:pPr>
        <w:pStyle w:val="19"/>
        <w:ind w:firstLine="420"/>
        <w:rPr>
          <w:lang w:val="ru-RU"/>
        </w:rPr>
      </w:pPr>
    </w:p>
    <w:p w14:paraId="2128F4D0">
      <w:pPr>
        <w:adjustRightInd w:val="0"/>
        <w:snapToGrid w:val="0"/>
        <w:spacing w:before="156" w:beforeLines="50"/>
        <w:jc w:val="center"/>
        <w:rPr>
          <w:rFonts w:ascii="黑体" w:eastAsia="黑体"/>
          <w:sz w:val="32"/>
          <w:szCs w:val="32"/>
          <w:lang w:val="ru-RU"/>
        </w:rPr>
      </w:pPr>
      <w:r>
        <w:rPr>
          <w:rFonts w:ascii="黑体" w:eastAsia="黑体"/>
          <w:sz w:val="32"/>
          <w:szCs w:val="32"/>
          <w:lang w:val="ru-RU"/>
        </w:rPr>
        <w:t xml:space="preserve"> </w:t>
      </w:r>
      <w:r>
        <w:rPr>
          <w:rFonts w:hint="eastAsia" w:ascii="黑体" w:eastAsia="黑体"/>
          <w:sz w:val="32"/>
          <w:szCs w:val="32"/>
          <w:lang w:val="ru-RU"/>
        </w:rPr>
        <w:t>2025</w:t>
      </w:r>
      <w:r>
        <w:rPr>
          <w:rFonts w:ascii="黑体" w:eastAsia="黑体"/>
          <w:sz w:val="32"/>
          <w:szCs w:val="32"/>
        </w:rPr>
        <w:t>年</w:t>
      </w:r>
      <w:r>
        <w:rPr>
          <w:rFonts w:hint="eastAsia" w:ascii="黑体" w:eastAsia="黑体"/>
          <w:sz w:val="32"/>
          <w:szCs w:val="32"/>
          <w:lang w:val="en-US" w:eastAsia="zh-CN"/>
        </w:rPr>
        <w:t>9</w:t>
      </w:r>
      <w:r>
        <w:rPr>
          <w:rFonts w:ascii="黑体" w:eastAsia="黑体"/>
          <w:sz w:val="32"/>
          <w:szCs w:val="32"/>
        </w:rPr>
        <w:t>月</w:t>
      </w:r>
    </w:p>
    <w:p w14:paraId="3CDCCBF4">
      <w:pPr>
        <w:adjustRightInd w:val="0"/>
        <w:snapToGrid w:val="0"/>
        <w:spacing w:before="156" w:beforeLines="50"/>
        <w:jc w:val="center"/>
        <w:rPr>
          <w:rFonts w:ascii="黑体" w:eastAsia="黑体"/>
          <w:sz w:val="32"/>
          <w:szCs w:val="32"/>
          <w:lang w:val="ru-RU"/>
        </w:rPr>
      </w:pPr>
      <w:r>
        <w:rPr>
          <w:lang w:val="ru-RU"/>
        </w:rPr>
        <w:t>Апрель</w:t>
      </w:r>
      <w:r>
        <w:rPr>
          <w:rFonts w:hint="eastAsia"/>
          <w:lang w:val="ru-RU"/>
        </w:rPr>
        <w:t>，</w:t>
      </w:r>
      <w:r>
        <w:rPr>
          <w:lang w:val="ru-RU"/>
        </w:rPr>
        <w:t xml:space="preserve"> 2025 г</w:t>
      </w:r>
    </w:p>
    <w:p w14:paraId="42DED663">
      <w:pPr>
        <w:tabs>
          <w:tab w:val="left" w:pos="900"/>
        </w:tabs>
        <w:spacing w:line="360" w:lineRule="auto"/>
        <w:ind w:firstLine="2650" w:firstLineChars="1100"/>
        <w:rPr>
          <w:rFonts w:eastAsia="楷体"/>
          <w:b/>
          <w:bCs/>
          <w:sz w:val="24"/>
          <w:szCs w:val="24"/>
        </w:rPr>
        <w:sectPr>
          <w:headerReference r:id="rId10" w:type="default"/>
          <w:pgSz w:w="11906" w:h="16838"/>
          <w:pgMar w:top="1134" w:right="1417" w:bottom="1134" w:left="1417" w:header="851" w:footer="850" w:gutter="0"/>
          <w:cols w:space="720" w:num="1"/>
          <w:titlePg/>
          <w:docGrid w:type="lines" w:linePitch="312" w:charSpace="0"/>
        </w:sectPr>
      </w:pPr>
    </w:p>
    <w:p w14:paraId="12CCD11E">
      <w:pPr>
        <w:pStyle w:val="3"/>
        <w:adjustRightInd w:val="0"/>
        <w:snapToGrid w:val="0"/>
        <w:spacing w:before="120" w:after="0" w:line="360" w:lineRule="auto"/>
        <w:jc w:val="both"/>
        <w:rPr>
          <w:rFonts w:ascii="黑体" w:hAnsi="黑体" w:eastAsia="黑体" w:cs="Microsoft JhengHei"/>
          <w:b w:val="0"/>
          <w:sz w:val="28"/>
          <w:szCs w:val="28"/>
        </w:rPr>
      </w:pPr>
      <w:bookmarkStart w:id="144" w:name="_Toc485893067"/>
      <w:bookmarkStart w:id="145" w:name="_Toc35944603"/>
      <w:bookmarkStart w:id="146" w:name="_Toc485892922"/>
      <w:bookmarkStart w:id="147" w:name="_Toc19934"/>
      <w:bookmarkStart w:id="148" w:name="_Toc3474958"/>
      <w:bookmarkStart w:id="149" w:name="_Toc13596"/>
      <w:bookmarkStart w:id="150" w:name="_Toc35835156"/>
      <w:bookmarkStart w:id="151" w:name="_Toc531102142"/>
      <w:bookmarkStart w:id="152" w:name="_Toc35847786"/>
      <w:bookmarkStart w:id="153" w:name="_Toc30829"/>
      <w:bookmarkStart w:id="154" w:name="_Toc31960"/>
      <w:bookmarkStart w:id="155" w:name="_Toc7009980"/>
      <w:bookmarkStart w:id="156" w:name="_Toc2174559"/>
      <w:bookmarkStart w:id="157" w:name="_Toc31572"/>
      <w:bookmarkStart w:id="158" w:name="_Toc355"/>
      <w:bookmarkStart w:id="159" w:name="_Toc13333"/>
      <w:r>
        <w:rPr>
          <w:rFonts w:ascii="黑体" w:hAnsi="黑体" w:eastAsia="黑体" w:cs="Microsoft JhengHei"/>
          <w:b w:val="0"/>
          <w:sz w:val="28"/>
          <w:szCs w:val="28"/>
        </w:rPr>
        <w:t>一、报价函、法定代表人（单位负责人）身份证明</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rFonts w:ascii="黑体" w:hAnsi="黑体" w:eastAsia="黑体" w:cs="Microsoft JhengHei"/>
          <w:b w:val="0"/>
          <w:sz w:val="28"/>
          <w:szCs w:val="28"/>
        </w:rPr>
        <w:t>、法人授权委托书</w:t>
      </w:r>
      <w:bookmarkEnd w:id="159"/>
    </w:p>
    <w:p w14:paraId="5B086DB3">
      <w:pPr>
        <w:pStyle w:val="3"/>
        <w:adjustRightInd w:val="0"/>
        <w:snapToGrid w:val="0"/>
        <w:spacing w:before="120" w:after="0" w:line="360" w:lineRule="auto"/>
        <w:jc w:val="center"/>
        <w:rPr>
          <w:rFonts w:ascii="黑体" w:hAnsi="黑体" w:eastAsia="黑体" w:cs="Microsoft JhengHei"/>
          <w:b w:val="0"/>
          <w:sz w:val="28"/>
          <w:szCs w:val="28"/>
        </w:rPr>
      </w:pPr>
      <w:bookmarkStart w:id="160" w:name="_Toc430265726"/>
      <w:bookmarkStart w:id="161" w:name="_Toc35944604"/>
      <w:bookmarkStart w:id="162" w:name="_Toc451076332"/>
      <w:bookmarkStart w:id="163" w:name="_Toc428971641"/>
      <w:bookmarkStart w:id="164" w:name="_Toc426186220"/>
      <w:bookmarkStart w:id="165" w:name="_Toc428970947"/>
      <w:bookmarkStart w:id="166" w:name="_Toc428971468"/>
      <w:bookmarkStart w:id="167" w:name="_Toc428467237"/>
      <w:bookmarkStart w:id="168" w:name="_Toc431893996"/>
      <w:bookmarkStart w:id="169" w:name="_Toc426148581"/>
      <w:bookmarkStart w:id="170" w:name="_Toc35847787"/>
      <w:bookmarkStart w:id="171" w:name="_Toc35835157"/>
      <w:r>
        <w:rPr>
          <w:rFonts w:ascii="黑体" w:hAnsi="黑体" w:eastAsia="黑体" w:cs="Microsoft JhengHei"/>
          <w:b w:val="0"/>
          <w:sz w:val="28"/>
          <w:szCs w:val="28"/>
        </w:rPr>
        <w:t>报价函的格式(1A)</w:t>
      </w:r>
    </w:p>
    <w:p w14:paraId="4643D1C5">
      <w:pPr>
        <w:adjustRightInd w:val="0"/>
        <w:snapToGrid w:val="0"/>
        <w:spacing w:line="360" w:lineRule="auto"/>
        <w:rPr>
          <w:rFonts w:hint="default" w:eastAsia="宋体"/>
          <w:szCs w:val="24"/>
          <w:lang w:val="en-US" w:eastAsia="zh-CN"/>
        </w:rPr>
      </w:pPr>
      <w:r>
        <w:rPr>
          <w:rFonts w:hint="eastAsia"/>
          <w:szCs w:val="24"/>
        </w:rPr>
        <w:t>致：</w:t>
      </w:r>
      <w:r>
        <w:rPr>
          <w:rFonts w:hint="eastAsia"/>
          <w:szCs w:val="24"/>
          <w:u w:val="single"/>
          <w:lang w:val="en-US" w:eastAsia="zh-CN"/>
        </w:rPr>
        <w:t>中国华电科工集团有限公司哈萨克斯坦分公司</w:t>
      </w:r>
    </w:p>
    <w:p w14:paraId="6826F87C">
      <w:pPr>
        <w:adjustRightInd w:val="0"/>
        <w:snapToGrid w:val="0"/>
        <w:spacing w:line="360" w:lineRule="auto"/>
        <w:ind w:firstLine="420" w:firstLineChars="200"/>
        <w:rPr>
          <w:szCs w:val="24"/>
        </w:rPr>
      </w:pPr>
      <w:r>
        <w:rPr>
          <w:rFonts w:hint="eastAsia"/>
          <w:szCs w:val="24"/>
        </w:rPr>
        <w:t>按照贵</w:t>
      </w:r>
      <w:r>
        <w:rPr>
          <w:rFonts w:hint="eastAsia"/>
          <w:szCs w:val="24"/>
          <w:u w:val="single"/>
        </w:rPr>
        <w:t xml:space="preserve"> </w:t>
      </w:r>
      <w:r>
        <w:rPr>
          <w:rFonts w:hint="eastAsia"/>
          <w:bCs/>
          <w:u w:val="single"/>
        </w:rPr>
        <w:t>哈萨克斯坦阿克套燃机项目</w:t>
      </w:r>
      <w:r>
        <w:rPr>
          <w:rFonts w:hint="eastAsia"/>
          <w:bCs/>
          <w:u w:val="single"/>
          <w:lang w:val="en-US" w:eastAsia="zh-CN"/>
        </w:rPr>
        <w:t>会计代理</w:t>
      </w:r>
      <w:r>
        <w:rPr>
          <w:rFonts w:hint="eastAsia"/>
          <w:bCs/>
          <w:u w:val="single"/>
        </w:rPr>
        <w:t>服务</w:t>
      </w:r>
      <w:r>
        <w:rPr>
          <w:rFonts w:hint="eastAsia"/>
          <w:szCs w:val="24"/>
        </w:rPr>
        <w:t>采购内容的要求，特全权委托</w:t>
      </w:r>
      <w:r>
        <w:rPr>
          <w:rFonts w:hint="eastAsia"/>
          <w:szCs w:val="24"/>
          <w:u w:val="single"/>
        </w:rPr>
        <w:t xml:space="preserve"> </w:t>
      </w:r>
      <w:r>
        <w:rPr>
          <w:szCs w:val="24"/>
          <w:u w:val="single"/>
        </w:rPr>
        <w:t xml:space="preserve">   </w:t>
      </w:r>
      <w:r>
        <w:rPr>
          <w:rFonts w:hint="eastAsia"/>
          <w:szCs w:val="24"/>
        </w:rPr>
        <w:t>以供应商</w:t>
      </w:r>
      <w:r>
        <w:rPr>
          <w:rFonts w:hint="eastAsia"/>
          <w:szCs w:val="24"/>
          <w:u w:val="single"/>
        </w:rPr>
        <w:t xml:space="preserve"> </w:t>
      </w:r>
      <w:r>
        <w:rPr>
          <w:szCs w:val="24"/>
          <w:u w:val="single"/>
        </w:rPr>
        <w:t xml:space="preserve">       </w:t>
      </w:r>
      <w:r>
        <w:rPr>
          <w:rFonts w:hint="eastAsia"/>
          <w:szCs w:val="24"/>
          <w:u w:val="single"/>
        </w:rPr>
        <w:t xml:space="preserve"> </w:t>
      </w:r>
      <w:r>
        <w:rPr>
          <w:rFonts w:hint="eastAsia"/>
          <w:szCs w:val="24"/>
        </w:rPr>
        <w:t>的名义并作为其代理，代表我方进行报价有关的一切事宜：</w:t>
      </w:r>
    </w:p>
    <w:p w14:paraId="3337C0F2">
      <w:pPr>
        <w:tabs>
          <w:tab w:val="left" w:pos="993"/>
        </w:tabs>
        <w:adjustRightInd w:val="0"/>
        <w:snapToGrid w:val="0"/>
        <w:spacing w:line="360" w:lineRule="auto"/>
        <w:ind w:firstLine="482"/>
        <w:rPr>
          <w:szCs w:val="24"/>
        </w:rPr>
      </w:pPr>
      <w:r>
        <w:rPr>
          <w:rFonts w:hint="eastAsia"/>
          <w:szCs w:val="24"/>
        </w:rPr>
        <w:t>我方承诺除随本响应文件提交的商务、技术及合同条款偏差表列明的偏差外，其他均完全响应采购文件要求。</w:t>
      </w:r>
    </w:p>
    <w:p w14:paraId="1453FECB">
      <w:pPr>
        <w:tabs>
          <w:tab w:val="left" w:pos="993"/>
        </w:tabs>
        <w:adjustRightInd w:val="0"/>
        <w:snapToGrid w:val="0"/>
        <w:spacing w:line="360" w:lineRule="auto"/>
        <w:ind w:firstLine="480"/>
        <w:rPr>
          <w:szCs w:val="24"/>
        </w:rPr>
      </w:pPr>
      <w:r>
        <w:rPr>
          <w:rFonts w:hint="eastAsia"/>
          <w:szCs w:val="24"/>
        </w:rPr>
        <w:t>我方已完全理解采购文件的所有条款要求并重申以下几点：</w:t>
      </w:r>
    </w:p>
    <w:p w14:paraId="0D61B0F2">
      <w:pPr>
        <w:numPr>
          <w:ilvl w:val="0"/>
          <w:numId w:val="10"/>
        </w:numPr>
        <w:tabs>
          <w:tab w:val="left" w:pos="993"/>
        </w:tabs>
        <w:adjustRightInd w:val="0"/>
        <w:snapToGrid w:val="0"/>
        <w:spacing w:line="360" w:lineRule="auto"/>
        <w:ind w:firstLine="480"/>
        <w:rPr>
          <w:szCs w:val="24"/>
        </w:rPr>
      </w:pPr>
      <w:r>
        <w:rPr>
          <w:rFonts w:hint="eastAsia"/>
          <w:szCs w:val="24"/>
        </w:rPr>
        <w:t>我方报价包括</w:t>
      </w:r>
      <w:r>
        <w:rPr>
          <w:rFonts w:hint="eastAsia"/>
          <w:szCs w:val="24"/>
          <w:lang w:val="en-US" w:eastAsia="zh-CN"/>
        </w:rPr>
        <w:t>询比价</w:t>
      </w:r>
      <w:r>
        <w:rPr>
          <w:rFonts w:hint="eastAsia"/>
          <w:szCs w:val="24"/>
        </w:rPr>
        <w:t>采购文件要求履行合同责任和义务的全部费用。且该报价为固定单价，即在报价有效期和合同有效期内，该报价固定不变。</w:t>
      </w:r>
    </w:p>
    <w:p w14:paraId="6821B382">
      <w:pPr>
        <w:numPr>
          <w:ilvl w:val="0"/>
          <w:numId w:val="10"/>
        </w:numPr>
        <w:tabs>
          <w:tab w:val="left" w:pos="993"/>
        </w:tabs>
        <w:adjustRightInd w:val="0"/>
        <w:snapToGrid w:val="0"/>
        <w:spacing w:line="360" w:lineRule="auto"/>
        <w:ind w:firstLine="480"/>
        <w:rPr>
          <w:szCs w:val="24"/>
        </w:rPr>
      </w:pPr>
      <w:r>
        <w:rPr>
          <w:rFonts w:hint="eastAsia"/>
          <w:szCs w:val="24"/>
        </w:rPr>
        <w:t>我方已详细阅读了采购文件，包括澄清文件、修改(如果有)和所有供参考的资料以及有关附件，并清楚在今后再无权对此提出理解不清或误解的问题。</w:t>
      </w:r>
    </w:p>
    <w:p w14:paraId="18AA3B00">
      <w:pPr>
        <w:numPr>
          <w:ilvl w:val="0"/>
          <w:numId w:val="10"/>
        </w:numPr>
        <w:tabs>
          <w:tab w:val="left" w:pos="993"/>
        </w:tabs>
        <w:adjustRightInd w:val="0"/>
        <w:snapToGrid w:val="0"/>
        <w:spacing w:line="360" w:lineRule="auto"/>
        <w:ind w:firstLine="480"/>
        <w:rPr>
          <w:szCs w:val="24"/>
        </w:rPr>
      </w:pPr>
      <w:r>
        <w:rPr>
          <w:rFonts w:hint="eastAsia"/>
          <w:szCs w:val="24"/>
        </w:rPr>
        <w:t>本响应文件报价有效期90天。</w:t>
      </w:r>
    </w:p>
    <w:p w14:paraId="75839DBF">
      <w:pPr>
        <w:numPr>
          <w:ilvl w:val="0"/>
          <w:numId w:val="10"/>
        </w:numPr>
        <w:tabs>
          <w:tab w:val="left" w:pos="993"/>
        </w:tabs>
        <w:adjustRightInd w:val="0"/>
        <w:snapToGrid w:val="0"/>
        <w:spacing w:line="360" w:lineRule="auto"/>
        <w:ind w:firstLine="480"/>
        <w:rPr>
          <w:szCs w:val="24"/>
        </w:rPr>
      </w:pPr>
      <w:r>
        <w:rPr>
          <w:rFonts w:hint="eastAsia"/>
          <w:szCs w:val="24"/>
        </w:rPr>
        <w:t>我方理解</w:t>
      </w:r>
      <w:r>
        <w:rPr>
          <w:szCs w:val="24"/>
        </w:rPr>
        <w:t>,</w:t>
      </w:r>
      <w:r>
        <w:rPr>
          <w:rFonts w:hint="eastAsia"/>
          <w:szCs w:val="24"/>
        </w:rPr>
        <w:t>贵司不一定接受最低价报价或其他任何可能收到的报价。</w:t>
      </w:r>
    </w:p>
    <w:p w14:paraId="7D0B3D71">
      <w:pPr>
        <w:numPr>
          <w:ilvl w:val="0"/>
          <w:numId w:val="10"/>
        </w:numPr>
        <w:tabs>
          <w:tab w:val="left" w:pos="993"/>
        </w:tabs>
        <w:adjustRightInd w:val="0"/>
        <w:snapToGrid w:val="0"/>
        <w:spacing w:line="360" w:lineRule="auto"/>
        <w:ind w:firstLine="480"/>
        <w:rPr>
          <w:szCs w:val="24"/>
        </w:rPr>
      </w:pPr>
      <w:r>
        <w:rPr>
          <w:rFonts w:hint="eastAsia"/>
          <w:szCs w:val="24"/>
        </w:rPr>
        <w:t>若成交，我方将按照采购文件的具体规定与采购人签订经济合同，并且严格按合同规定履行合同义务，按时完成合同约定服务内容，为工程提供优质的服务。</w:t>
      </w:r>
    </w:p>
    <w:p w14:paraId="32BEA810">
      <w:pPr>
        <w:numPr>
          <w:ilvl w:val="0"/>
          <w:numId w:val="10"/>
        </w:numPr>
        <w:tabs>
          <w:tab w:val="left" w:pos="993"/>
        </w:tabs>
        <w:adjustRightInd w:val="0"/>
        <w:snapToGrid w:val="0"/>
        <w:spacing w:line="360" w:lineRule="auto"/>
        <w:ind w:firstLine="480"/>
        <w:rPr>
          <w:szCs w:val="24"/>
        </w:rPr>
      </w:pPr>
      <w:r>
        <w:rPr>
          <w:rFonts w:hint="eastAsia"/>
          <w:szCs w:val="24"/>
        </w:rPr>
        <w:t>我方承诺响应文件中的一切资料、数据是真实的，并承担由此引起的一切责任。</w:t>
      </w:r>
    </w:p>
    <w:p w14:paraId="5B45F27F">
      <w:pPr>
        <w:numPr>
          <w:ilvl w:val="0"/>
          <w:numId w:val="10"/>
        </w:numPr>
        <w:tabs>
          <w:tab w:val="left" w:pos="993"/>
        </w:tabs>
        <w:adjustRightInd w:val="0"/>
        <w:snapToGrid w:val="0"/>
        <w:spacing w:line="360" w:lineRule="auto"/>
        <w:ind w:firstLine="480"/>
        <w:rPr>
          <w:szCs w:val="24"/>
        </w:rPr>
      </w:pPr>
      <w:r>
        <w:rPr>
          <w:rFonts w:hint="eastAsia"/>
          <w:szCs w:val="24"/>
        </w:rPr>
        <w:t>我方承诺在整个报价过程中如有违规行为，贵方可按采购文件之规定予以处理，我方完全接受。</w:t>
      </w:r>
    </w:p>
    <w:p w14:paraId="71123DCA">
      <w:pPr>
        <w:pStyle w:val="46"/>
        <w:numPr>
          <w:ilvl w:val="0"/>
          <w:numId w:val="10"/>
        </w:numPr>
        <w:adjustRightInd w:val="0"/>
        <w:snapToGrid w:val="0"/>
        <w:spacing w:line="360" w:lineRule="auto"/>
        <w:ind w:firstLine="420"/>
        <w:rPr>
          <w:szCs w:val="24"/>
        </w:rPr>
      </w:pPr>
      <w:r>
        <w:rPr>
          <w:rFonts w:hint="eastAsia"/>
          <w:szCs w:val="24"/>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带来的一切责任与经济损失，均由我方承担。</w:t>
      </w:r>
    </w:p>
    <w:p w14:paraId="41E10F88">
      <w:pPr>
        <w:numPr>
          <w:ilvl w:val="0"/>
          <w:numId w:val="10"/>
        </w:numPr>
        <w:tabs>
          <w:tab w:val="left" w:pos="993"/>
        </w:tabs>
        <w:adjustRightInd w:val="0"/>
        <w:snapToGrid w:val="0"/>
        <w:spacing w:line="360" w:lineRule="auto"/>
        <w:ind w:firstLine="480"/>
        <w:rPr>
          <w:szCs w:val="24"/>
        </w:rPr>
      </w:pPr>
      <w:r>
        <w:rPr>
          <w:rFonts w:hint="eastAsia"/>
          <w:szCs w:val="24"/>
        </w:rPr>
        <w:t>我方在此声明，所递交的响应文件及有关资料内容完整、真实和准确。</w:t>
      </w:r>
    </w:p>
    <w:p w14:paraId="56DBBBC7">
      <w:pPr>
        <w:numPr>
          <w:ilvl w:val="0"/>
          <w:numId w:val="10"/>
        </w:numPr>
        <w:tabs>
          <w:tab w:val="left" w:pos="993"/>
        </w:tabs>
        <w:adjustRightInd w:val="0"/>
        <w:snapToGrid w:val="0"/>
        <w:spacing w:line="360" w:lineRule="auto"/>
        <w:ind w:firstLine="480"/>
        <w:rPr>
          <w:szCs w:val="24"/>
        </w:rPr>
      </w:pPr>
      <w:r>
        <w:rPr>
          <w:rFonts w:hint="eastAsia"/>
          <w:szCs w:val="24"/>
        </w:rPr>
        <w:t>所有有关响应文件的正式通信联系地址如下：</w:t>
      </w:r>
    </w:p>
    <w:p w14:paraId="32B729F7">
      <w:pPr>
        <w:tabs>
          <w:tab w:val="left" w:pos="993"/>
        </w:tabs>
        <w:adjustRightInd w:val="0"/>
        <w:snapToGrid w:val="0"/>
        <w:spacing w:line="360" w:lineRule="auto"/>
        <w:ind w:firstLine="480"/>
        <w:rPr>
          <w:szCs w:val="24"/>
        </w:rPr>
      </w:pPr>
    </w:p>
    <w:p w14:paraId="1B39F13C">
      <w:pPr>
        <w:tabs>
          <w:tab w:val="left" w:pos="993"/>
        </w:tabs>
        <w:ind w:firstLine="480"/>
        <w:rPr>
          <w:szCs w:val="24"/>
        </w:rPr>
      </w:pPr>
    </w:p>
    <w:p w14:paraId="259F3650">
      <w:pPr>
        <w:tabs>
          <w:tab w:val="left" w:pos="993"/>
        </w:tabs>
        <w:ind w:firstLine="480"/>
        <w:rPr>
          <w:szCs w:val="24"/>
        </w:rPr>
      </w:pPr>
    </w:p>
    <w:p w14:paraId="2507EC3F">
      <w:pPr>
        <w:adjustRightInd w:val="0"/>
        <w:snapToGrid w:val="0"/>
        <w:spacing w:line="360" w:lineRule="auto"/>
        <w:ind w:firstLine="4418" w:firstLineChars="2104"/>
        <w:jc w:val="left"/>
        <w:rPr>
          <w:szCs w:val="24"/>
          <w:u w:val="single"/>
        </w:rPr>
      </w:pPr>
      <w:r>
        <w:rPr>
          <w:rFonts w:hint="eastAsia"/>
          <w:szCs w:val="24"/>
        </w:rPr>
        <w:t>供应商(盖公章)：</w:t>
      </w:r>
    </w:p>
    <w:p w14:paraId="3CB86083">
      <w:pPr>
        <w:adjustRightInd w:val="0"/>
        <w:snapToGrid w:val="0"/>
        <w:spacing w:line="360" w:lineRule="auto"/>
        <w:ind w:firstLine="4418" w:firstLineChars="2104"/>
        <w:jc w:val="left"/>
        <w:rPr>
          <w:szCs w:val="24"/>
        </w:rPr>
      </w:pPr>
      <w:r>
        <w:rPr>
          <w:rFonts w:hint="eastAsia"/>
          <w:szCs w:val="24"/>
        </w:rPr>
        <w:t>法定代表人或其委托代理人(签字)：</w:t>
      </w:r>
    </w:p>
    <w:p w14:paraId="448DF797">
      <w:pPr>
        <w:adjustRightInd w:val="0"/>
        <w:snapToGrid w:val="0"/>
        <w:spacing w:line="360" w:lineRule="auto"/>
        <w:ind w:firstLine="4418" w:firstLineChars="2104"/>
        <w:jc w:val="left"/>
        <w:rPr>
          <w:szCs w:val="24"/>
        </w:rPr>
      </w:pPr>
      <w:r>
        <w:rPr>
          <w:rFonts w:hint="eastAsia"/>
          <w:szCs w:val="24"/>
        </w:rPr>
        <w:t>地址：</w:t>
      </w:r>
    </w:p>
    <w:p w14:paraId="2DB24327">
      <w:pPr>
        <w:adjustRightInd w:val="0"/>
        <w:snapToGrid w:val="0"/>
        <w:spacing w:line="360" w:lineRule="auto"/>
        <w:ind w:firstLine="4418" w:firstLineChars="2104"/>
        <w:jc w:val="left"/>
        <w:rPr>
          <w:szCs w:val="24"/>
          <w:u w:val="single"/>
        </w:rPr>
      </w:pPr>
      <w:r>
        <w:rPr>
          <w:rFonts w:hint="eastAsia"/>
          <w:szCs w:val="24"/>
        </w:rPr>
        <w:t>电话：</w:t>
      </w:r>
    </w:p>
    <w:p w14:paraId="58752D87">
      <w:pPr>
        <w:adjustRightInd w:val="0"/>
        <w:snapToGrid w:val="0"/>
        <w:spacing w:line="360" w:lineRule="auto"/>
        <w:ind w:firstLine="4418" w:firstLineChars="2104"/>
        <w:jc w:val="left"/>
        <w:rPr>
          <w:rFonts w:hint="eastAsia"/>
          <w:szCs w:val="24"/>
        </w:rPr>
      </w:pPr>
      <w:r>
        <w:rPr>
          <w:rFonts w:hint="eastAsia"/>
          <w:szCs w:val="24"/>
        </w:rPr>
        <w:t>日期：</w:t>
      </w:r>
      <w:r>
        <w:rPr>
          <w:szCs w:val="24"/>
          <w:u w:val="single"/>
        </w:rPr>
        <w:t xml:space="preserve">       </w:t>
      </w:r>
      <w:r>
        <w:rPr>
          <w:rFonts w:hint="eastAsia"/>
          <w:szCs w:val="24"/>
        </w:rPr>
        <w:t>年</w:t>
      </w:r>
      <w:r>
        <w:rPr>
          <w:rFonts w:hint="eastAsia"/>
          <w:szCs w:val="24"/>
          <w:u w:val="single"/>
        </w:rPr>
        <w:t xml:space="preserve"> </w:t>
      </w:r>
      <w:r>
        <w:rPr>
          <w:szCs w:val="24"/>
          <w:u w:val="single"/>
        </w:rPr>
        <w:t xml:space="preserve">   </w:t>
      </w:r>
      <w:r>
        <w:rPr>
          <w:rFonts w:hint="eastAsia"/>
          <w:szCs w:val="24"/>
        </w:rPr>
        <w:t>月</w:t>
      </w:r>
      <w:r>
        <w:rPr>
          <w:rFonts w:hint="eastAsia"/>
          <w:szCs w:val="24"/>
          <w:u w:val="single"/>
        </w:rPr>
        <w:t xml:space="preserve"> </w:t>
      </w:r>
      <w:r>
        <w:rPr>
          <w:szCs w:val="24"/>
          <w:u w:val="single"/>
        </w:rPr>
        <w:t xml:space="preserve">  </w:t>
      </w:r>
      <w:r>
        <w:rPr>
          <w:rFonts w:hint="eastAsia"/>
          <w:szCs w:val="24"/>
        </w:rPr>
        <w:t>日</w:t>
      </w:r>
      <w:bookmarkEnd w:id="160"/>
      <w:bookmarkEnd w:id="161"/>
      <w:bookmarkEnd w:id="162"/>
      <w:bookmarkEnd w:id="163"/>
      <w:bookmarkEnd w:id="164"/>
      <w:bookmarkEnd w:id="165"/>
      <w:bookmarkEnd w:id="166"/>
      <w:bookmarkEnd w:id="167"/>
      <w:bookmarkEnd w:id="168"/>
      <w:bookmarkEnd w:id="169"/>
      <w:bookmarkEnd w:id="170"/>
      <w:bookmarkEnd w:id="171"/>
      <w:bookmarkStart w:id="172" w:name="附件1A"/>
      <w:bookmarkEnd w:id="172"/>
    </w:p>
    <w:p w14:paraId="48E18B8C">
      <w:pPr>
        <w:rPr>
          <w:rFonts w:hint="eastAsia"/>
          <w:szCs w:val="24"/>
        </w:rPr>
      </w:pPr>
    </w:p>
    <w:p w14:paraId="0072B6BC">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I. Письмо-предложение, документ, удостоверяющий личность законного представителя (руководителя подразделения), и авторизационное письмо юридического лица</w:t>
      </w:r>
    </w:p>
    <w:p w14:paraId="509FB72C">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Формат письма-оферты (1А)</w:t>
      </w:r>
    </w:p>
    <w:p w14:paraId="23D5A13F">
      <w:pPr>
        <w:spacing w:before="156" w:beforeLines="50" w:after="156" w:afterLines="50" w:line="360" w:lineRule="auto"/>
        <w:ind w:firstLine="560" w:firstLineChars="200"/>
        <w:jc w:val="left"/>
        <w:rPr>
          <w:rFonts w:hint="default" w:ascii="Times New Roman" w:hAnsi="Times New Roman" w:eastAsia="仿宋" w:cs="Times New Roman"/>
          <w:b/>
          <w:color w:val="000000" w:themeColor="text1"/>
          <w:sz w:val="24"/>
          <w:szCs w:val="24"/>
          <w:lang w:eastAsia="zh-CN"/>
          <w14:textFill>
            <w14:solidFill>
              <w14:schemeClr w14:val="tx1"/>
            </w14:solidFill>
          </w14:textFill>
        </w:rPr>
      </w:pPr>
      <w:r>
        <w:rPr>
          <w:rFonts w:hint="default" w:ascii="Times New Roman" w:hAnsi="Times New Roman" w:cs="Times New Roman"/>
          <w:sz w:val="28"/>
          <w:szCs w:val="28"/>
          <w:lang w:val="ru-RU"/>
        </w:rPr>
        <w:t xml:space="preserve">Кому: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Казахстанский филиал Корпорации</w:t>
      </w:r>
      <w:r>
        <w:rPr>
          <w:rFonts w:hint="eastAsia" w:ascii="Times New Roman" w:hAnsi="Times New Roman" w:eastAsia="宋体" w:cs="Times New Roman"/>
          <w:i w:val="0"/>
          <w:iCs w:val="0"/>
          <w:caps w:val="0"/>
          <w:color w:val="000000" w:themeColor="text1"/>
          <w:spacing w:val="0"/>
          <w:sz w:val="24"/>
          <w:szCs w:val="24"/>
          <w:shd w:val="clear" w:fill="FFFFFF"/>
          <w:lang w:val="en-US" w:eastAsia="zh-CN"/>
          <w14:textFill>
            <w14:solidFill>
              <w14:schemeClr w14:val="tx1"/>
            </w14:solidFill>
          </w14:textFill>
        </w:rPr>
        <w:t xml:space="preserve"> </w:t>
      </w:r>
      <w:r>
        <w:rPr>
          <w:rFonts w:hint="default" w:ascii="Times New Roman" w:hAnsi="Times New Roman" w:eastAsia="Segoe UI" w:cs="Times New Roman"/>
          <w:i w:val="0"/>
          <w:iCs w:val="0"/>
          <w:caps w:val="0"/>
          <w:color w:val="000000" w:themeColor="text1"/>
          <w:spacing w:val="0"/>
          <w:sz w:val="24"/>
          <w:szCs w:val="24"/>
          <w:shd w:val="clear" w:fill="FFFFFF"/>
          <w14:textFill>
            <w14:solidFill>
              <w14:schemeClr w14:val="tx1"/>
            </w14:solidFill>
          </w14:textFill>
        </w:rPr>
        <w:t>«China Huadian Engineering Co., Ltd.»</w:t>
      </w:r>
    </w:p>
    <w:p w14:paraId="7CE85857">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 xml:space="preserve">В соответствии с требованиями к </w:t>
      </w:r>
      <w:r>
        <w:rPr>
          <w:rFonts w:hint="default" w:ascii="Times New Roman" w:hAnsi="Times New Roman"/>
          <w:b w:val="0"/>
          <w:sz w:val="28"/>
          <w:szCs w:val="28"/>
          <w:lang w:val="ru-RU"/>
        </w:rPr>
        <w:t>слуг по ведению бухгалтерского учета</w:t>
      </w:r>
      <w:r>
        <w:rPr>
          <w:rFonts w:hint="default" w:ascii="Times New Roman" w:hAnsi="Times New Roman" w:cs="Times New Roman"/>
          <w:sz w:val="28"/>
          <w:szCs w:val="28"/>
        </w:rPr>
        <w:t xml:space="preserve"> для проекта «</w:t>
      </w:r>
      <w:r>
        <w:rPr>
          <w:rFonts w:hint="default" w:ascii="Times New Roman" w:hAnsi="Times New Roman" w:cs="Times New Roman"/>
          <w:sz w:val="28"/>
          <w:szCs w:val="28"/>
          <w:lang w:val="ru-RU"/>
        </w:rPr>
        <w:t>С</w:t>
      </w:r>
      <w:r>
        <w:rPr>
          <w:rFonts w:hint="default" w:ascii="Times New Roman" w:hAnsi="Times New Roman" w:cs="Times New Roman"/>
          <w:sz w:val="28"/>
          <w:szCs w:val="28"/>
        </w:rPr>
        <w:t>троительства газотурбинной установки в Актау» в Казахстане, настоящим мы уполномочиваем Поставщика от своего имени и в качестве своего агента сделать предложение от нашего имени в отношении всех вопросов, связанных с предложением:</w:t>
      </w:r>
    </w:p>
    <w:p w14:paraId="183D10E1">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Мы обязуемся полностью отвечать требованиям Документации о закупке, за исключением отклонений, перечисленных в Таблице отклонений коммерческих, технических и договорных условий, представленной вместе с настоящим Документом об ответе.</w:t>
      </w:r>
    </w:p>
    <w:p w14:paraId="4CCB383C">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Мы полностью ознакомились со всеми требованиями условий закупочной документации и подтверждаем следующие положения:</w:t>
      </w:r>
    </w:p>
    <w:p w14:paraId="17D854FB">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1) Наше предложение включает в себя все затраты на выполнение договорных обязанностей и обязательств, предусмотренных документацией о закупках для публичных переговоров. При этом предложение является фиксированной ценой за единицу продукции, т.е. фиксированной в течение срока действия предложения и срока действия договора.</w:t>
      </w:r>
    </w:p>
    <w:p w14:paraId="64F25D79">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2) Мы подробно ознакомились с документацией о закупках, включая разъяснительные документы, изменения (если таковые имеются) и всю справочную информацию, а также соответствующие приложения, и осознаем, что не имеем права в дальнейшем поднимать какие-либо вопросы, связанные с ее непониманием или неправильным толкованием.</w:t>
      </w:r>
    </w:p>
    <w:p w14:paraId="7DB0E86B">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3) Настоящее предложение об ответном документе действительно в течение 90 дней.</w:t>
      </w:r>
    </w:p>
    <w:p w14:paraId="053A519B">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4)Мы понимаем, что вы можете не принять самое низкое предложение или любое другое предложение, которое вы можете получить.</w:t>
      </w:r>
    </w:p>
    <w:p w14:paraId="487F84C6">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5)Если контракт будет выигран, мы подпишем с заказчиком экономический контракт в соответствии с конкретными положениями закупочной документации, и будем выполнять свои договорные обязательства в строгом соответствии с положениями контракта, своевременно завершать контрактные услуги и предоставлять высококачественные услуги по проекту.</w:t>
      </w:r>
    </w:p>
    <w:p w14:paraId="18C75862">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6) Мы обещаем, что вся информация и данные, указанные в ответной документации, соответствуют действительности, и несем всю вытекающую из этого ответственность.</w:t>
      </w:r>
    </w:p>
    <w:p w14:paraId="486E9F1E">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7) Мы обещаем, что в случае возникновения каких-либо нарушений во всем процессе подачи предложений, вы сможете разобраться с ними в соответствии с положениями закупочной документации, и мы полностью принимаем их.</w:t>
      </w:r>
    </w:p>
    <w:p w14:paraId="0000D705">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8) Мы обязуемся, что любые продукты и услуги, используемые или обещанные к использованию в процессе котировки данного проекта (в том числе частичное использование), не вызовут правовых и экономических споров, связанных с нарушением патентов, товарных знаков или других прав интеллектуальной собственности третьей стороной. В случае возникновения правовых и экономических споров, связанных с патентами, товарными знаками или другими правами на интеллектуальную собственность, все обязательства и экономические потери, причиненные в результате этого покупателю, несет мы.</w:t>
      </w:r>
    </w:p>
    <w:p w14:paraId="7A21E7AC">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9) Настоящим мы заявляем, что содержание представленных ответных документов и сопутствующей информации является полным, достоверным и точным.</w:t>
      </w:r>
    </w:p>
    <w:p w14:paraId="7C9B5378">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10) Официальный контактный адрес для переписки по всем соответствующим ответным документам следующий:</w:t>
      </w:r>
    </w:p>
    <w:p w14:paraId="1417F9F0">
      <w:pPr>
        <w:pStyle w:val="19"/>
        <w:ind w:left="0" w:leftChars="0" w:firstLine="0" w:firstLineChars="0"/>
        <w:rPr>
          <w:rFonts w:hint="default" w:ascii="Times New Roman" w:hAnsi="Times New Roman" w:cs="Times New Roman"/>
          <w:sz w:val="28"/>
          <w:szCs w:val="28"/>
        </w:rPr>
      </w:pPr>
    </w:p>
    <w:p w14:paraId="1BD5EF17">
      <w:pPr>
        <w:pStyle w:val="19"/>
        <w:ind w:left="0" w:leftChars="0" w:firstLine="0" w:firstLineChars="0"/>
        <w:rPr>
          <w:rFonts w:hint="default" w:ascii="Times New Roman" w:hAnsi="Times New Roman" w:cs="Times New Roman"/>
          <w:sz w:val="28"/>
          <w:szCs w:val="28"/>
        </w:rPr>
      </w:pPr>
    </w:p>
    <w:p w14:paraId="36E77AF1">
      <w:pPr>
        <w:pStyle w:val="19"/>
        <w:ind w:left="0" w:leftChars="0" w:firstLine="0" w:firstLineChars="0"/>
        <w:rPr>
          <w:rFonts w:hint="default" w:ascii="Times New Roman" w:hAnsi="Times New Roman" w:cs="Times New Roman"/>
          <w:sz w:val="28"/>
          <w:szCs w:val="28"/>
        </w:rPr>
      </w:pPr>
    </w:p>
    <w:p w14:paraId="0FAD43E2">
      <w:pPr>
        <w:pStyle w:val="19"/>
        <w:ind w:left="0" w:leftChars="0" w:firstLine="0" w:firstLineChars="0"/>
        <w:jc w:val="right"/>
        <w:rPr>
          <w:rFonts w:hint="default" w:ascii="Times New Roman" w:hAnsi="Times New Roman" w:cs="Times New Roman"/>
          <w:sz w:val="28"/>
          <w:szCs w:val="28"/>
        </w:rPr>
      </w:pPr>
      <w:r>
        <w:rPr>
          <w:rFonts w:hint="default" w:ascii="Times New Roman" w:hAnsi="Times New Roman" w:cs="Times New Roman"/>
          <w:sz w:val="28"/>
          <w:szCs w:val="28"/>
        </w:rPr>
        <w:t>Поставщик (официальная печать):</w:t>
      </w:r>
    </w:p>
    <w:p w14:paraId="47C84831">
      <w:pPr>
        <w:pStyle w:val="19"/>
        <w:ind w:left="0" w:leftChars="0" w:firstLine="0" w:firstLineChars="0"/>
        <w:jc w:val="right"/>
        <w:rPr>
          <w:rFonts w:hint="default" w:ascii="Times New Roman" w:hAnsi="Times New Roman" w:cs="Times New Roman"/>
          <w:sz w:val="28"/>
          <w:szCs w:val="28"/>
        </w:rPr>
      </w:pPr>
      <w:r>
        <w:rPr>
          <w:rFonts w:hint="default" w:ascii="Times New Roman" w:hAnsi="Times New Roman" w:cs="Times New Roman"/>
          <w:sz w:val="28"/>
          <w:szCs w:val="28"/>
        </w:rPr>
        <w:t>Законный представитель или его/</w:t>
      </w:r>
    </w:p>
    <w:p w14:paraId="212AA1DD">
      <w:pPr>
        <w:pStyle w:val="19"/>
        <w:ind w:left="0" w:leftChars="0" w:firstLine="0" w:firstLineChars="0"/>
        <w:jc w:val="right"/>
        <w:rPr>
          <w:rFonts w:hint="default" w:ascii="Times New Roman" w:hAnsi="Times New Roman" w:cs="Times New Roman"/>
          <w:sz w:val="28"/>
          <w:szCs w:val="28"/>
        </w:rPr>
      </w:pPr>
      <w:r>
        <w:rPr>
          <w:rFonts w:hint="default" w:ascii="Times New Roman" w:hAnsi="Times New Roman" w:cs="Times New Roman"/>
          <w:sz w:val="28"/>
          <w:szCs w:val="28"/>
        </w:rPr>
        <w:t>ее доверенное лицо (подпись):</w:t>
      </w:r>
    </w:p>
    <w:p w14:paraId="4019FC5B">
      <w:pPr>
        <w:pStyle w:val="19"/>
        <w:ind w:left="0" w:leftChars="0" w:firstLine="0" w:firstLineChars="0"/>
        <w:jc w:val="center"/>
        <w:rPr>
          <w:rFonts w:hint="default" w:ascii="Times New Roman" w:hAnsi="Times New Roman" w:cs="Times New Roman"/>
          <w:sz w:val="28"/>
          <w:szCs w:val="28"/>
        </w:rPr>
      </w:pP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Адрес:</w:t>
      </w:r>
    </w:p>
    <w:p w14:paraId="7729931F">
      <w:pPr>
        <w:pStyle w:val="19"/>
        <w:ind w:left="0" w:leftChars="0" w:firstLine="0" w:firstLineChars="0"/>
        <w:jc w:val="center"/>
        <w:rPr>
          <w:rFonts w:hint="default" w:ascii="Times New Roman" w:hAnsi="Times New Roman" w:cs="Times New Roman"/>
          <w:sz w:val="28"/>
          <w:szCs w:val="28"/>
        </w:rPr>
      </w:pP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Тел:</w:t>
      </w:r>
    </w:p>
    <w:p w14:paraId="5D00C0F0">
      <w:pPr>
        <w:pStyle w:val="19"/>
        <w:ind w:left="0" w:leftChars="0" w:firstLine="0" w:firstLineChars="0"/>
        <w:jc w:val="center"/>
        <w:rPr>
          <w:rFonts w:hint="default" w:ascii="Times New Roman" w:hAnsi="Times New Roman" w:cs="Times New Roman"/>
          <w:sz w:val="28"/>
          <w:szCs w:val="28"/>
        </w:rPr>
      </w:pP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Дата: </w:t>
      </w:r>
    </w:p>
    <w:p w14:paraId="23D5373F">
      <w:pPr>
        <w:ind w:firstLine="480"/>
        <w:rPr>
          <w:rFonts w:hint="default" w:ascii="Times New Roman" w:hAnsi="Times New Roman" w:cs="Times New Roman"/>
          <w:b/>
          <w:bCs/>
          <w:sz w:val="28"/>
          <w:szCs w:val="28"/>
        </w:rPr>
      </w:pPr>
      <w:r>
        <w:rPr>
          <w:rFonts w:hint="default" w:ascii="Times New Roman" w:hAnsi="Times New Roman" w:cs="Times New Roman"/>
          <w:sz w:val="28"/>
          <w:szCs w:val="28"/>
        </w:rPr>
        <w:br w:type="page"/>
      </w:r>
    </w:p>
    <w:p w14:paraId="1C484E8B">
      <w:pPr>
        <w:jc w:val="center"/>
        <w:rPr>
          <w:szCs w:val="24"/>
        </w:rPr>
      </w:pPr>
      <w:bookmarkStart w:id="173" w:name="_附件2投标价格表"/>
      <w:bookmarkEnd w:id="173"/>
      <w:r>
        <w:rPr>
          <w:rFonts w:ascii="黑体" w:hAnsi="黑体" w:eastAsia="黑体"/>
          <w:sz w:val="28"/>
          <w:szCs w:val="24"/>
        </w:rPr>
        <w:t>法定代表人（单位负责人）身份证明</w:t>
      </w:r>
      <w:r>
        <w:rPr>
          <w:rFonts w:hint="eastAsia" w:ascii="黑体" w:hAnsi="黑体" w:eastAsia="黑体"/>
          <w:sz w:val="28"/>
          <w:szCs w:val="24"/>
        </w:rPr>
        <w:t>（</w:t>
      </w:r>
      <w:r>
        <w:rPr>
          <w:rFonts w:ascii="黑体" w:hAnsi="黑体" w:eastAsia="黑体"/>
          <w:sz w:val="28"/>
          <w:szCs w:val="24"/>
        </w:rPr>
        <w:t>1B</w:t>
      </w:r>
      <w:r>
        <w:rPr>
          <w:rFonts w:hint="eastAsia" w:ascii="黑体" w:hAnsi="黑体" w:eastAsia="黑体"/>
          <w:sz w:val="28"/>
          <w:szCs w:val="24"/>
        </w:rPr>
        <w:t>）</w:t>
      </w:r>
    </w:p>
    <w:p w14:paraId="20906D39">
      <w:pPr>
        <w:jc w:val="center"/>
        <w:rPr>
          <w:szCs w:val="24"/>
        </w:rPr>
      </w:pPr>
      <w:r>
        <w:rPr>
          <w:szCs w:val="24"/>
        </w:rPr>
        <w:t>(适用于无委托代理人的情况)</w:t>
      </w:r>
    </w:p>
    <w:p w14:paraId="20FDE990">
      <w:pPr>
        <w:spacing w:before="8"/>
        <w:rPr>
          <w:rFonts w:ascii="Microsoft JhengHei"/>
          <w:b/>
          <w:sz w:val="25"/>
          <w:szCs w:val="21"/>
        </w:rPr>
      </w:pPr>
    </w:p>
    <w:p w14:paraId="31D54194">
      <w:pPr>
        <w:tabs>
          <w:tab w:val="left" w:pos="3928"/>
        </w:tabs>
        <w:adjustRightInd w:val="0"/>
        <w:snapToGrid w:val="0"/>
        <w:spacing w:line="360" w:lineRule="auto"/>
        <w:ind w:right="1980"/>
        <w:rPr>
          <w:szCs w:val="24"/>
        </w:rPr>
      </w:pPr>
      <w:r>
        <w:rPr>
          <w:rFonts w:hint="eastAsia"/>
          <w:szCs w:val="24"/>
        </w:rPr>
        <w:t>供应商</w:t>
      </w:r>
      <w:r>
        <w:rPr>
          <w:szCs w:val="24"/>
        </w:rPr>
        <w:t>名称：</w:t>
      </w:r>
      <w:r>
        <w:rPr>
          <w:szCs w:val="24"/>
          <w:u w:val="single"/>
        </w:rPr>
        <w:t xml:space="preserve"> </w:t>
      </w:r>
      <w:r>
        <w:rPr>
          <w:szCs w:val="24"/>
          <w:u w:val="single"/>
        </w:rPr>
        <w:tab/>
      </w:r>
    </w:p>
    <w:p w14:paraId="1ADBFE33">
      <w:pPr>
        <w:tabs>
          <w:tab w:val="left" w:pos="2412"/>
          <w:tab w:val="left" w:pos="3883"/>
          <w:tab w:val="left" w:pos="5352"/>
          <w:tab w:val="left" w:pos="7590"/>
        </w:tabs>
        <w:adjustRightInd w:val="0"/>
        <w:snapToGrid w:val="0"/>
        <w:spacing w:before="37" w:line="360" w:lineRule="auto"/>
        <w:rPr>
          <w:szCs w:val="24"/>
        </w:rPr>
      </w:pPr>
      <w:r>
        <w:rPr>
          <w:szCs w:val="24"/>
        </w:rPr>
        <w:t>姓名：</w:t>
      </w:r>
      <w:r>
        <w:rPr>
          <w:szCs w:val="24"/>
          <w:u w:val="single"/>
        </w:rPr>
        <w:t xml:space="preserve"> </w:t>
      </w:r>
      <w:r>
        <w:rPr>
          <w:szCs w:val="24"/>
          <w:u w:val="single"/>
        </w:rPr>
        <w:tab/>
      </w:r>
      <w:r>
        <w:rPr>
          <w:szCs w:val="24"/>
        </w:rPr>
        <w:t>性别：</w:t>
      </w:r>
      <w:r>
        <w:rPr>
          <w:szCs w:val="24"/>
          <w:u w:val="single"/>
        </w:rPr>
        <w:t xml:space="preserve"> </w:t>
      </w:r>
      <w:r>
        <w:rPr>
          <w:szCs w:val="24"/>
          <w:u w:val="single"/>
        </w:rPr>
        <w:tab/>
      </w:r>
      <w:r>
        <w:rPr>
          <w:szCs w:val="24"/>
        </w:rPr>
        <w:t>年龄：</w:t>
      </w:r>
      <w:r>
        <w:rPr>
          <w:szCs w:val="24"/>
          <w:u w:val="single"/>
        </w:rPr>
        <w:t xml:space="preserve"> </w:t>
      </w:r>
      <w:r>
        <w:rPr>
          <w:szCs w:val="24"/>
          <w:u w:val="single"/>
        </w:rPr>
        <w:tab/>
      </w:r>
      <w:r>
        <w:rPr>
          <w:szCs w:val="24"/>
        </w:rPr>
        <w:t>职务：</w:t>
      </w:r>
      <w:r>
        <w:rPr>
          <w:szCs w:val="24"/>
          <w:u w:val="single"/>
        </w:rPr>
        <w:t xml:space="preserve"> </w:t>
      </w:r>
      <w:r>
        <w:rPr>
          <w:szCs w:val="24"/>
          <w:u w:val="single"/>
        </w:rPr>
        <w:tab/>
      </w:r>
    </w:p>
    <w:p w14:paraId="308CF351">
      <w:pPr>
        <w:tabs>
          <w:tab w:val="left" w:pos="2832"/>
        </w:tabs>
        <w:adjustRightInd w:val="0"/>
        <w:snapToGrid w:val="0"/>
        <w:spacing w:before="37" w:line="360" w:lineRule="auto"/>
        <w:rPr>
          <w:szCs w:val="24"/>
        </w:rPr>
      </w:pPr>
      <w:r>
        <w:rPr>
          <w:spacing w:val="-1"/>
          <w:szCs w:val="24"/>
        </w:rPr>
        <w:t>系</w:t>
      </w:r>
      <w:r>
        <w:rPr>
          <w:szCs w:val="24"/>
          <w:u w:val="single"/>
        </w:rPr>
        <w:t xml:space="preserve"> </w:t>
      </w:r>
      <w:r>
        <w:rPr>
          <w:szCs w:val="24"/>
          <w:u w:val="single"/>
        </w:rPr>
        <w:tab/>
      </w:r>
      <w:r>
        <w:rPr>
          <w:spacing w:val="-3"/>
          <w:szCs w:val="24"/>
        </w:rPr>
        <w:t>（</w:t>
      </w:r>
      <w:r>
        <w:rPr>
          <w:rFonts w:hint="eastAsia"/>
          <w:szCs w:val="24"/>
        </w:rPr>
        <w:t>供应商</w:t>
      </w:r>
      <w:r>
        <w:rPr>
          <w:spacing w:val="-3"/>
          <w:szCs w:val="24"/>
        </w:rPr>
        <w:t>名</w:t>
      </w:r>
      <w:r>
        <w:rPr>
          <w:szCs w:val="24"/>
        </w:rPr>
        <w:t>称</w:t>
      </w:r>
      <w:r>
        <w:rPr>
          <w:spacing w:val="-3"/>
          <w:szCs w:val="24"/>
        </w:rPr>
        <w:t>）</w:t>
      </w:r>
      <w:r>
        <w:rPr>
          <w:szCs w:val="24"/>
        </w:rPr>
        <w:t>的</w:t>
      </w:r>
      <w:r>
        <w:rPr>
          <w:spacing w:val="-3"/>
          <w:szCs w:val="24"/>
        </w:rPr>
        <w:t>法定</w:t>
      </w:r>
      <w:r>
        <w:rPr>
          <w:szCs w:val="24"/>
        </w:rPr>
        <w:t>代表</w:t>
      </w:r>
      <w:r>
        <w:rPr>
          <w:spacing w:val="-3"/>
          <w:szCs w:val="24"/>
        </w:rPr>
        <w:t>人</w:t>
      </w:r>
      <w:r>
        <w:rPr>
          <w:szCs w:val="24"/>
        </w:rPr>
        <w:t>（</w:t>
      </w:r>
      <w:r>
        <w:rPr>
          <w:spacing w:val="-3"/>
          <w:szCs w:val="24"/>
        </w:rPr>
        <w:t>单</w:t>
      </w:r>
      <w:r>
        <w:rPr>
          <w:szCs w:val="24"/>
        </w:rPr>
        <w:t>位</w:t>
      </w:r>
      <w:r>
        <w:rPr>
          <w:spacing w:val="-3"/>
          <w:szCs w:val="24"/>
        </w:rPr>
        <w:t>负</w:t>
      </w:r>
      <w:r>
        <w:rPr>
          <w:szCs w:val="24"/>
        </w:rPr>
        <w:t>责</w:t>
      </w:r>
      <w:r>
        <w:rPr>
          <w:spacing w:val="-3"/>
          <w:szCs w:val="24"/>
        </w:rPr>
        <w:t>人</w:t>
      </w:r>
      <w:r>
        <w:rPr>
          <w:spacing w:val="-106"/>
          <w:szCs w:val="24"/>
        </w:rPr>
        <w:t>）</w:t>
      </w:r>
      <w:r>
        <w:rPr>
          <w:szCs w:val="24"/>
        </w:rPr>
        <w:t>。</w:t>
      </w:r>
    </w:p>
    <w:p w14:paraId="41DB33AA">
      <w:pPr>
        <w:adjustRightInd w:val="0"/>
        <w:snapToGrid w:val="0"/>
        <w:spacing w:before="36" w:line="360" w:lineRule="auto"/>
        <w:ind w:right="1979" w:firstLine="480"/>
        <w:rPr>
          <w:szCs w:val="24"/>
        </w:rPr>
      </w:pPr>
      <w:r>
        <w:rPr>
          <w:szCs w:val="24"/>
        </w:rPr>
        <w:t>特此证明。</w:t>
      </w:r>
    </w:p>
    <w:p w14:paraId="54E6EC5D">
      <w:pPr>
        <w:adjustRightInd w:val="0"/>
        <w:snapToGrid w:val="0"/>
        <w:spacing w:before="4" w:line="360" w:lineRule="auto"/>
        <w:rPr>
          <w:szCs w:val="24"/>
        </w:rPr>
      </w:pPr>
    </w:p>
    <w:p w14:paraId="7D8671AA">
      <w:pPr>
        <w:adjustRightInd w:val="0"/>
        <w:snapToGrid w:val="0"/>
        <w:spacing w:line="360" w:lineRule="auto"/>
        <w:ind w:right="1980"/>
        <w:rPr>
          <w:szCs w:val="24"/>
        </w:rPr>
      </w:pPr>
      <w:r>
        <w:rPr>
          <w:szCs w:val="24"/>
        </w:rPr>
        <w:t>附：法定代表人（单位负责人）身份证复印件。</w:t>
      </w:r>
    </w:p>
    <w:p w14:paraId="08E1C2D1">
      <w:pPr>
        <w:adjustRightInd w:val="0"/>
        <w:snapToGrid w:val="0"/>
        <w:spacing w:line="360" w:lineRule="auto"/>
        <w:rPr>
          <w:szCs w:val="24"/>
        </w:rPr>
      </w:pPr>
    </w:p>
    <w:p w14:paraId="01B9AD9A">
      <w:pPr>
        <w:pStyle w:val="18"/>
        <w:adjustRightInd w:val="0"/>
        <w:snapToGrid w:val="0"/>
        <w:spacing w:line="360" w:lineRule="auto"/>
        <w:ind w:firstLine="210"/>
      </w:pPr>
    </w:p>
    <w:p w14:paraId="6D474E0C">
      <w:pPr>
        <w:adjustRightInd w:val="0"/>
        <w:snapToGrid w:val="0"/>
        <w:spacing w:line="360" w:lineRule="auto"/>
        <w:ind w:firstLine="480"/>
      </w:pPr>
    </w:p>
    <w:p w14:paraId="1C8DA7B1">
      <w:pPr>
        <w:adjustRightInd w:val="0"/>
        <w:snapToGrid w:val="0"/>
        <w:spacing w:line="360" w:lineRule="auto"/>
        <w:rPr>
          <w:szCs w:val="24"/>
        </w:rPr>
      </w:pPr>
    </w:p>
    <w:p w14:paraId="35738A5E">
      <w:pPr>
        <w:adjustRightInd w:val="0"/>
        <w:snapToGrid w:val="0"/>
        <w:spacing w:before="11" w:line="360" w:lineRule="auto"/>
        <w:ind w:firstLine="480"/>
        <w:rPr>
          <w:szCs w:val="24"/>
        </w:rPr>
      </w:pPr>
    </w:p>
    <w:p w14:paraId="4D9F0AB7">
      <w:pPr>
        <w:adjustRightInd w:val="0"/>
        <w:snapToGrid w:val="0"/>
        <w:spacing w:line="360" w:lineRule="auto"/>
        <w:ind w:firstLine="3845" w:firstLineChars="1831"/>
        <w:rPr>
          <w:szCs w:val="24"/>
        </w:rPr>
      </w:pPr>
      <w:r>
        <w:rPr>
          <w:rFonts w:hint="eastAsia"/>
          <w:szCs w:val="24"/>
        </w:rPr>
        <w:t>供应商</w:t>
      </w:r>
      <w:r>
        <w:rPr>
          <w:szCs w:val="24"/>
        </w:rPr>
        <w:t>：</w:t>
      </w:r>
      <w:r>
        <w:rPr>
          <w:szCs w:val="24"/>
          <w:u w:val="single"/>
        </w:rPr>
        <w:t xml:space="preserve">                 </w:t>
      </w:r>
      <w:r>
        <w:rPr>
          <w:szCs w:val="24"/>
        </w:rPr>
        <w:t>(盖单位公章)</w:t>
      </w:r>
    </w:p>
    <w:p w14:paraId="4F19C530">
      <w:pPr>
        <w:adjustRightInd w:val="0"/>
        <w:snapToGrid w:val="0"/>
        <w:spacing w:line="360" w:lineRule="auto"/>
        <w:ind w:firstLine="3845" w:firstLineChars="1831"/>
        <w:rPr>
          <w:szCs w:val="24"/>
        </w:rPr>
      </w:pPr>
    </w:p>
    <w:p w14:paraId="34F10E34">
      <w:pPr>
        <w:adjustRightInd w:val="0"/>
        <w:snapToGrid w:val="0"/>
        <w:spacing w:line="360" w:lineRule="auto"/>
        <w:ind w:firstLine="3845" w:firstLineChars="1831"/>
        <w:rPr>
          <w:szCs w:val="24"/>
        </w:rPr>
      </w:pPr>
      <w:r>
        <w:rPr>
          <w:szCs w:val="24"/>
        </w:rPr>
        <w:t>法定代表人：</w:t>
      </w:r>
      <w:r>
        <w:rPr>
          <w:szCs w:val="24"/>
          <w:u w:val="single"/>
        </w:rPr>
        <w:t xml:space="preserve">                 </w:t>
      </w:r>
      <w:r>
        <w:rPr>
          <w:szCs w:val="24"/>
        </w:rPr>
        <w:t>(签字)</w:t>
      </w:r>
    </w:p>
    <w:p w14:paraId="3AD9443A">
      <w:pPr>
        <w:adjustRightInd w:val="0"/>
        <w:snapToGrid w:val="0"/>
        <w:spacing w:line="360" w:lineRule="auto"/>
        <w:ind w:firstLine="3845" w:firstLineChars="1831"/>
        <w:rPr>
          <w:szCs w:val="24"/>
        </w:rPr>
      </w:pPr>
    </w:p>
    <w:p w14:paraId="6FA2F9DA">
      <w:pPr>
        <w:adjustRightInd w:val="0"/>
        <w:snapToGrid w:val="0"/>
        <w:spacing w:line="360" w:lineRule="auto"/>
        <w:ind w:firstLine="3845" w:firstLineChars="1831"/>
        <w:rPr>
          <w:szCs w:val="24"/>
        </w:rPr>
      </w:pPr>
      <w:r>
        <w:rPr>
          <w:szCs w:val="24"/>
          <w:u w:val="single"/>
        </w:rPr>
        <w:t xml:space="preserve">       </w:t>
      </w:r>
      <w:r>
        <w:rPr>
          <w:szCs w:val="24"/>
        </w:rPr>
        <w:t>年</w:t>
      </w:r>
      <w:r>
        <w:rPr>
          <w:szCs w:val="24"/>
          <w:u w:val="single"/>
        </w:rPr>
        <w:t xml:space="preserve">       </w:t>
      </w:r>
      <w:r>
        <w:rPr>
          <w:szCs w:val="24"/>
        </w:rPr>
        <w:t>月</w:t>
      </w:r>
      <w:r>
        <w:rPr>
          <w:szCs w:val="24"/>
          <w:u w:val="single"/>
        </w:rPr>
        <w:t xml:space="preserve">       </w:t>
      </w:r>
      <w:r>
        <w:rPr>
          <w:szCs w:val="24"/>
        </w:rPr>
        <w:t xml:space="preserve">日 </w:t>
      </w:r>
    </w:p>
    <w:p w14:paraId="0DFAD5D2">
      <w:pPr>
        <w:wordWrap w:val="0"/>
        <w:adjustRightInd w:val="0"/>
        <w:snapToGrid w:val="0"/>
        <w:spacing w:line="360" w:lineRule="auto"/>
        <w:ind w:firstLine="480"/>
        <w:jc w:val="right"/>
      </w:pPr>
    </w:p>
    <w:p w14:paraId="49B87618">
      <w:pPr>
        <w:wordWrap w:val="0"/>
        <w:ind w:firstLine="480"/>
        <w:jc w:val="right"/>
      </w:pPr>
    </w:p>
    <w:p w14:paraId="5EFF06DE">
      <w:pPr>
        <w:wordWrap w:val="0"/>
        <w:ind w:firstLine="480"/>
        <w:jc w:val="right"/>
      </w:pPr>
    </w:p>
    <w:p w14:paraId="34F53C84">
      <w:pPr>
        <w:ind w:right="1980"/>
        <w:rPr>
          <w:szCs w:val="24"/>
        </w:rPr>
      </w:pPr>
      <w:r>
        <w:rPr>
          <w:szCs w:val="24"/>
        </w:rPr>
        <w:t>注：本身份证明需由</w:t>
      </w:r>
      <w:r>
        <w:rPr>
          <w:rFonts w:hint="eastAsia"/>
          <w:szCs w:val="24"/>
        </w:rPr>
        <w:t>供应商</w:t>
      </w:r>
      <w:r>
        <w:rPr>
          <w:szCs w:val="24"/>
        </w:rPr>
        <w:t>加盖单位公章。</w:t>
      </w:r>
    </w:p>
    <w:p w14:paraId="7731D33C">
      <w:pPr>
        <w:pStyle w:val="19"/>
        <w:ind w:left="0" w:leftChars="0" w:firstLine="0" w:firstLineChars="0"/>
        <w:rPr>
          <w:rFonts w:hint="default" w:ascii="Times New Roman" w:hAnsi="Times New Roman" w:cs="Times New Roman"/>
          <w:sz w:val="28"/>
          <w:szCs w:val="28"/>
        </w:rPr>
      </w:pPr>
    </w:p>
    <w:p w14:paraId="4DF0B654">
      <w:pPr>
        <w:pStyle w:val="19"/>
        <w:ind w:left="0" w:leftChars="0" w:firstLine="0" w:firstLineChars="0"/>
        <w:rPr>
          <w:rFonts w:hint="default" w:ascii="Times New Roman" w:hAnsi="Times New Roman" w:cs="Times New Roman"/>
          <w:b/>
          <w:bCs/>
          <w:sz w:val="28"/>
          <w:szCs w:val="28"/>
        </w:rPr>
      </w:pPr>
      <w:r>
        <w:rPr>
          <w:rFonts w:hint="default" w:ascii="Times New Roman" w:hAnsi="Times New Roman" w:cs="Times New Roman"/>
          <w:b/>
          <w:bCs/>
          <w:sz w:val="28"/>
          <w:szCs w:val="28"/>
        </w:rPr>
        <w:t>Удостоверение личности законного представителя (ответственного лица организации) (1B)</w:t>
      </w:r>
    </w:p>
    <w:p w14:paraId="37278274">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(Применяется, если нет доверенного лица)</w:t>
      </w:r>
    </w:p>
    <w:p w14:paraId="2F3CE006">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 xml:space="preserve">Имя поставщика: </w:t>
      </w:r>
      <w:r>
        <w:rPr>
          <w:rFonts w:hint="default" w:ascii="Times New Roman" w:hAnsi="Times New Roman" w:cs="Times New Roman"/>
          <w:sz w:val="28"/>
          <w:szCs w:val="28"/>
        </w:rPr>
        <w:tab/>
      </w:r>
    </w:p>
    <w:p w14:paraId="5404109F">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 xml:space="preserve">Фамилия: Пол: Возраст: Должность: </w:t>
      </w:r>
      <w:r>
        <w:rPr>
          <w:rFonts w:hint="default" w:ascii="Times New Roman" w:hAnsi="Times New Roman" w:cs="Times New Roman"/>
          <w:sz w:val="28"/>
          <w:szCs w:val="28"/>
        </w:rPr>
        <w:tab/>
      </w:r>
    </w:p>
    <w:p w14:paraId="54D70BDE">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Я являюсь законным представителем (ответственным лицом организации) (название поставщика).</w:t>
      </w:r>
    </w:p>
    <w:p w14:paraId="22A292E9">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Настоящим подтверждаю, что я являюсь законным представителем (ответственным лицом организации) (наименование поставщика).</w:t>
      </w:r>
    </w:p>
    <w:p w14:paraId="585178BC">
      <w:pPr>
        <w:pStyle w:val="19"/>
        <w:ind w:left="0" w:leftChars="0" w:firstLine="0" w:firstLineChars="0"/>
        <w:rPr>
          <w:rFonts w:hint="default" w:ascii="Times New Roman" w:hAnsi="Times New Roman" w:cs="Times New Roman"/>
          <w:sz w:val="28"/>
          <w:szCs w:val="28"/>
        </w:rPr>
      </w:pPr>
      <w:r>
        <w:rPr>
          <w:rFonts w:hint="default" w:ascii="Times New Roman" w:hAnsi="Times New Roman" w:cs="Times New Roman"/>
          <w:sz w:val="28"/>
          <w:szCs w:val="28"/>
        </w:rPr>
        <w:t>Приложение: копия удостоверения личности законного представителя (ответственного лица).</w:t>
      </w:r>
    </w:p>
    <w:p w14:paraId="4C2A232D">
      <w:pPr>
        <w:pStyle w:val="19"/>
        <w:ind w:left="0" w:leftChars="0" w:firstLine="0" w:firstLineChars="0"/>
        <w:rPr>
          <w:rFonts w:hint="default" w:ascii="Times New Roman" w:hAnsi="Times New Roman" w:cs="Times New Roman"/>
          <w:sz w:val="28"/>
          <w:szCs w:val="28"/>
        </w:rPr>
      </w:pPr>
    </w:p>
    <w:p w14:paraId="6CB0D990">
      <w:pPr>
        <w:pStyle w:val="19"/>
        <w:ind w:left="0" w:leftChars="0" w:firstLine="0" w:firstLineChars="0"/>
        <w:jc w:val="right"/>
        <w:rPr>
          <w:rFonts w:hint="default" w:ascii="Times New Roman" w:hAnsi="Times New Roman" w:cs="Times New Roman"/>
          <w:sz w:val="28"/>
          <w:szCs w:val="28"/>
        </w:rPr>
      </w:pPr>
      <w:r>
        <w:rPr>
          <w:rFonts w:hint="default" w:ascii="Times New Roman" w:hAnsi="Times New Roman" w:cs="Times New Roman"/>
          <w:sz w:val="28"/>
          <w:szCs w:val="28"/>
        </w:rPr>
        <w:t>Поставщик: (печать подразделения)</w:t>
      </w:r>
    </w:p>
    <w:p w14:paraId="150721BA">
      <w:pPr>
        <w:pStyle w:val="19"/>
        <w:ind w:left="0" w:leftChars="0" w:firstLine="0" w:firstLineChars="0"/>
        <w:jc w:val="right"/>
        <w:rPr>
          <w:rFonts w:hint="default" w:ascii="Times New Roman" w:hAnsi="Times New Roman" w:cs="Times New Roman"/>
          <w:sz w:val="28"/>
          <w:szCs w:val="28"/>
        </w:rPr>
      </w:pPr>
      <w:r>
        <w:rPr>
          <w:rFonts w:hint="default" w:ascii="Times New Roman" w:hAnsi="Times New Roman" w:cs="Times New Roman"/>
          <w:sz w:val="28"/>
          <w:szCs w:val="28"/>
        </w:rPr>
        <w:t>Законный представитель: (подпись)</w:t>
      </w:r>
    </w:p>
    <w:p w14:paraId="62612C33">
      <w:pPr>
        <w:pStyle w:val="19"/>
        <w:ind w:left="0" w:leftChars="0" w:firstLine="0" w:firstLineChars="0"/>
        <w:jc w:val="right"/>
        <w:rPr>
          <w:rFonts w:hint="default" w:ascii="Times New Roman" w:hAnsi="Times New Roman" w:cs="Times New Roman"/>
          <w:sz w:val="28"/>
          <w:szCs w:val="28"/>
          <w:lang w:val="ru-RU"/>
        </w:rPr>
      </w:pPr>
      <w:r>
        <w:rPr>
          <w:rFonts w:hint="default" w:ascii="Times New Roman" w:hAnsi="Times New Roman" w:cs="Times New Roman"/>
          <w:sz w:val="28"/>
          <w:szCs w:val="28"/>
          <w:lang w:val="ru-RU"/>
        </w:rPr>
        <w:t>Дата:</w:t>
      </w:r>
    </w:p>
    <w:p w14:paraId="78A306F4">
      <w:pPr>
        <w:rPr>
          <w:rFonts w:hint="default"/>
        </w:rPr>
      </w:pPr>
    </w:p>
    <w:p w14:paraId="4FCE79D3">
      <w:pPr>
        <w:jc w:val="left"/>
        <w:rPr>
          <w:rFonts w:hint="default"/>
        </w:rPr>
      </w:pPr>
    </w:p>
    <w:p w14:paraId="06C1083E">
      <w:pPr>
        <w:jc w:val="left"/>
        <w:rPr>
          <w:rFonts w:hint="default"/>
        </w:rPr>
      </w:pPr>
      <w:r>
        <w:rPr>
          <w:rFonts w:hint="default"/>
        </w:rPr>
        <w:t>Примечание: Данный документ, удостоверяющий личность, должен быть заверен поставщиком официальной печатью подразделения.</w:t>
      </w:r>
    </w:p>
    <w:p w14:paraId="143ABF59">
      <w:pPr>
        <w:pStyle w:val="19"/>
        <w:ind w:left="0" w:leftChars="0" w:firstLine="0" w:firstLineChars="0"/>
        <w:rPr>
          <w:rFonts w:hint="default" w:ascii="Times New Roman" w:hAnsi="Times New Roman" w:cs="Times New Roman"/>
          <w:sz w:val="28"/>
          <w:szCs w:val="28"/>
        </w:rPr>
      </w:pPr>
    </w:p>
    <w:p w14:paraId="6443B3F4">
      <w:pPr>
        <w:pStyle w:val="19"/>
        <w:ind w:left="0" w:leftChars="0" w:firstLine="0" w:firstLineChars="0"/>
        <w:rPr>
          <w:rFonts w:hint="default" w:ascii="Times New Roman" w:hAnsi="Times New Roman" w:cs="Times New Roman"/>
          <w:sz w:val="28"/>
          <w:szCs w:val="28"/>
        </w:rPr>
      </w:pPr>
    </w:p>
    <w:p w14:paraId="497BC7E3">
      <w:pPr>
        <w:pStyle w:val="32"/>
        <w:tabs>
          <w:tab w:val="center" w:pos="4201"/>
          <w:tab w:val="right" w:leader="dot" w:pos="9298"/>
        </w:tabs>
        <w:rPr>
          <w:rFonts w:hint="eastAsia"/>
        </w:rPr>
      </w:pPr>
    </w:p>
    <w:p w14:paraId="7F183C58">
      <w:pPr>
        <w:pStyle w:val="32"/>
        <w:tabs>
          <w:tab w:val="center" w:pos="4201"/>
          <w:tab w:val="right" w:leader="dot" w:pos="9298"/>
        </w:tabs>
        <w:rPr>
          <w:rFonts w:hint="eastAsia"/>
        </w:rPr>
      </w:pPr>
    </w:p>
    <w:p w14:paraId="73710AA3">
      <w:pPr>
        <w:pStyle w:val="32"/>
        <w:tabs>
          <w:tab w:val="center" w:pos="4201"/>
          <w:tab w:val="right" w:leader="dot" w:pos="9298"/>
        </w:tabs>
        <w:rPr>
          <w:rFonts w:hint="eastAsia"/>
        </w:rPr>
      </w:pPr>
    </w:p>
    <w:p w14:paraId="173FF5E7">
      <w:pPr>
        <w:jc w:val="center"/>
        <w:rPr>
          <w:rFonts w:hint="eastAsia" w:ascii="黑体" w:hAnsi="黑体" w:eastAsia="黑体"/>
          <w:sz w:val="28"/>
          <w:szCs w:val="24"/>
        </w:rPr>
      </w:pPr>
      <w:bookmarkStart w:id="174" w:name="_Toc12782"/>
      <w:r>
        <w:rPr>
          <w:rFonts w:hint="eastAsia" w:ascii="黑体" w:hAnsi="黑体" w:eastAsia="黑体"/>
          <w:sz w:val="28"/>
          <w:szCs w:val="24"/>
        </w:rPr>
        <w:t>附有法定代表人身份证明的授权委托书（</w:t>
      </w:r>
      <w:r>
        <w:rPr>
          <w:rFonts w:ascii="黑体" w:hAnsi="黑体" w:eastAsia="黑体"/>
          <w:sz w:val="28"/>
          <w:szCs w:val="24"/>
        </w:rPr>
        <w:t>1</w:t>
      </w:r>
      <w:r>
        <w:rPr>
          <w:rFonts w:hint="eastAsia" w:ascii="黑体" w:hAnsi="黑体" w:eastAsia="黑体"/>
          <w:sz w:val="28"/>
          <w:szCs w:val="24"/>
        </w:rPr>
        <w:t>C）</w:t>
      </w:r>
      <w:bookmarkEnd w:id="174"/>
    </w:p>
    <w:p w14:paraId="53F5A75D">
      <w:pPr>
        <w:adjustRightInd w:val="0"/>
        <w:snapToGrid w:val="0"/>
        <w:spacing w:line="360" w:lineRule="auto"/>
        <w:jc w:val="center"/>
        <w:rPr>
          <w:szCs w:val="24"/>
        </w:rPr>
      </w:pPr>
      <w:r>
        <w:rPr>
          <w:szCs w:val="24"/>
        </w:rPr>
        <w:t>(适用于有委托代理人的情况)</w:t>
      </w:r>
    </w:p>
    <w:p w14:paraId="781E1C73">
      <w:pPr>
        <w:topLinePunct/>
        <w:adjustRightInd w:val="0"/>
        <w:snapToGrid w:val="0"/>
        <w:spacing w:line="360" w:lineRule="auto"/>
        <w:ind w:firstLine="480"/>
        <w:rPr>
          <w:szCs w:val="24"/>
        </w:rPr>
      </w:pPr>
      <w:r>
        <w:rPr>
          <w:szCs w:val="24"/>
        </w:rPr>
        <w:t>本人</w:t>
      </w:r>
      <w:r>
        <w:rPr>
          <w:szCs w:val="24"/>
          <w:u w:val="single"/>
        </w:rPr>
        <w:t xml:space="preserve">       </w:t>
      </w:r>
      <w:r>
        <w:rPr>
          <w:szCs w:val="24"/>
        </w:rPr>
        <w:t>(姓名)系</w:t>
      </w:r>
      <w:r>
        <w:rPr>
          <w:szCs w:val="24"/>
          <w:u w:val="single"/>
        </w:rPr>
        <w:t xml:space="preserve">        </w:t>
      </w:r>
      <w:r>
        <w:rPr>
          <w:szCs w:val="24"/>
        </w:rPr>
        <w:t>(投标人名称)的法定代表人，现委托</w:t>
      </w:r>
      <w:r>
        <w:rPr>
          <w:szCs w:val="24"/>
          <w:u w:val="single"/>
        </w:rPr>
        <w:t xml:space="preserve">        </w:t>
      </w:r>
      <w:r>
        <w:rPr>
          <w:szCs w:val="24"/>
        </w:rPr>
        <w:t>(姓名)为我方代理人。代理人根据授权，以我方名义签署、澄清</w:t>
      </w:r>
      <w:r>
        <w:rPr>
          <w:rFonts w:hint="eastAsia"/>
          <w:szCs w:val="24"/>
        </w:rPr>
        <w:t>确认、说明、补正</w:t>
      </w:r>
      <w:r>
        <w:rPr>
          <w:szCs w:val="24"/>
        </w:rPr>
        <w:t>、递交、撤回、修改</w:t>
      </w:r>
      <w:r>
        <w:rPr>
          <w:szCs w:val="24"/>
          <w:u w:val="single"/>
        </w:rPr>
        <w:t xml:space="preserve">           </w:t>
      </w:r>
      <w:r>
        <w:rPr>
          <w:szCs w:val="24"/>
        </w:rPr>
        <w:t>(项目名称)</w:t>
      </w:r>
      <w:r>
        <w:rPr>
          <w:szCs w:val="24"/>
          <w:u w:val="single"/>
        </w:rPr>
        <w:t xml:space="preserve">           </w:t>
      </w:r>
      <w:r>
        <w:rPr>
          <w:rFonts w:hint="eastAsia"/>
          <w:szCs w:val="24"/>
          <w:u w:val="single"/>
        </w:rPr>
        <w:t>（</w:t>
      </w:r>
      <w:r>
        <w:rPr>
          <w:szCs w:val="24"/>
        </w:rPr>
        <w:t>标段</w:t>
      </w:r>
      <w:r>
        <w:rPr>
          <w:rFonts w:hint="eastAsia"/>
          <w:szCs w:val="24"/>
        </w:rPr>
        <w:t>名称）采购</w:t>
      </w:r>
      <w:r>
        <w:rPr>
          <w:szCs w:val="24"/>
        </w:rPr>
        <w:t>文件、签订合同和处理有关事宜，其法律后果由我</w:t>
      </w:r>
      <w:r>
        <w:rPr>
          <w:rFonts w:hint="eastAsia"/>
          <w:szCs w:val="24"/>
        </w:rPr>
        <w:t>公司</w:t>
      </w:r>
      <w:r>
        <w:rPr>
          <w:szCs w:val="24"/>
        </w:rPr>
        <w:t>承担。</w:t>
      </w:r>
    </w:p>
    <w:p w14:paraId="1D295E5A">
      <w:pPr>
        <w:adjustRightInd w:val="0"/>
        <w:snapToGrid w:val="0"/>
        <w:spacing w:line="360" w:lineRule="auto"/>
        <w:ind w:firstLine="480"/>
      </w:pPr>
      <w:r>
        <w:rPr>
          <w:szCs w:val="24"/>
        </w:rPr>
        <w:t>委托期限：</w:t>
      </w:r>
      <w:r>
        <w:rPr>
          <w:szCs w:val="24"/>
          <w:u w:val="single"/>
        </w:rPr>
        <w:t xml:space="preserve"> </w:t>
      </w:r>
      <w:r>
        <w:rPr>
          <w:rFonts w:hint="eastAsia"/>
          <w:szCs w:val="24"/>
          <w:u w:val="single"/>
        </w:rPr>
        <w:t>报价有效期内</w:t>
      </w:r>
      <w:r>
        <w:rPr>
          <w:rFonts w:hint="eastAsia"/>
          <w:szCs w:val="24"/>
        </w:rPr>
        <w:t>。</w:t>
      </w:r>
    </w:p>
    <w:p w14:paraId="040B1F90">
      <w:pPr>
        <w:adjustRightInd w:val="0"/>
        <w:snapToGrid w:val="0"/>
        <w:spacing w:line="360" w:lineRule="auto"/>
        <w:ind w:firstLine="480"/>
        <w:rPr>
          <w:rFonts w:cs="Arial"/>
          <w:color w:val="000000"/>
        </w:rPr>
      </w:pPr>
      <w:r>
        <w:rPr>
          <w:rFonts w:cs="Arial"/>
          <w:color w:val="000000"/>
        </w:rPr>
        <w:t>在撤销授权的书面通知到达以前，本授权书一直有效。被授权人签署的所有文件（在授权书有效期内签署的）不因授权的撤消而失效。</w:t>
      </w:r>
    </w:p>
    <w:p w14:paraId="59BD79BD">
      <w:pPr>
        <w:adjustRightInd w:val="0"/>
        <w:snapToGrid w:val="0"/>
        <w:spacing w:line="360" w:lineRule="auto"/>
        <w:ind w:firstLine="480"/>
        <w:rPr>
          <w:rFonts w:cs="Arial"/>
          <w:color w:val="000000"/>
        </w:rPr>
      </w:pPr>
      <w:r>
        <w:rPr>
          <w:szCs w:val="24"/>
        </w:rPr>
        <w:t>代理人无转委托权。</w:t>
      </w:r>
    </w:p>
    <w:p w14:paraId="606A427A">
      <w:pPr>
        <w:adjustRightInd w:val="0"/>
        <w:snapToGrid w:val="0"/>
        <w:spacing w:line="360" w:lineRule="auto"/>
        <w:ind w:firstLine="480"/>
        <w:rPr>
          <w:rFonts w:cs="Arial"/>
          <w:color w:val="000000"/>
        </w:rPr>
      </w:pPr>
      <w:r>
        <w:rPr>
          <w:rFonts w:hint="eastAsia" w:cs="Arial"/>
          <w:color w:val="000000"/>
        </w:rPr>
        <w:t xml:space="preserve">附：法定代表人身份证复印件及委托代理人身份证复印件。 </w:t>
      </w:r>
    </w:p>
    <w:p w14:paraId="0236597C">
      <w:pPr>
        <w:adjustRightInd w:val="0"/>
        <w:snapToGrid w:val="0"/>
        <w:spacing w:line="360" w:lineRule="auto"/>
        <w:ind w:firstLine="480"/>
        <w:rPr>
          <w:rFonts w:cs="Arial"/>
          <w:color w:val="000000"/>
        </w:rPr>
      </w:pPr>
      <w:r>
        <w:rPr>
          <w:rFonts w:hint="eastAsia" w:cs="Arial"/>
          <w:color w:val="000000"/>
        </w:rPr>
        <w:t xml:space="preserve">注：本授权委托书需由投标人加盖单位公章并由其法定代表人（单位负责人）和委托代理人签字。 </w:t>
      </w:r>
    </w:p>
    <w:p w14:paraId="3E3292C0">
      <w:pPr>
        <w:pStyle w:val="32"/>
        <w:tabs>
          <w:tab w:val="center" w:pos="4201"/>
          <w:tab w:val="right" w:leader="dot" w:pos="9298"/>
        </w:tabs>
        <w:adjustRightInd w:val="0"/>
        <w:snapToGrid w:val="0"/>
        <w:spacing w:line="360" w:lineRule="auto"/>
        <w:ind w:firstLine="0"/>
        <w:rPr>
          <w:rFonts w:hint="eastAsia" w:cs="Arial"/>
          <w:color w:val="000000"/>
          <w:sz w:val="24"/>
        </w:rPr>
      </w:pPr>
    </w:p>
    <w:p w14:paraId="5E4A40DE">
      <w:pPr>
        <w:pStyle w:val="32"/>
        <w:tabs>
          <w:tab w:val="center" w:pos="4201"/>
          <w:tab w:val="right" w:leader="dot" w:pos="9298"/>
        </w:tabs>
        <w:adjustRightInd w:val="0"/>
        <w:snapToGrid w:val="0"/>
        <w:spacing w:line="360" w:lineRule="auto"/>
        <w:ind w:left="0" w:leftChars="0" w:firstLine="0" w:firstLineChars="0"/>
        <w:rPr>
          <w:rFonts w:hint="eastAsia"/>
        </w:rPr>
      </w:pPr>
    </w:p>
    <w:p w14:paraId="592A2998">
      <w:pPr>
        <w:adjustRightInd w:val="0"/>
        <w:snapToGrid w:val="0"/>
        <w:spacing w:line="360" w:lineRule="auto"/>
        <w:ind w:firstLine="4410" w:firstLineChars="2100"/>
        <w:rPr>
          <w:rFonts w:cs="Arial"/>
          <w:color w:val="000000"/>
        </w:rPr>
      </w:pPr>
      <w:r>
        <w:rPr>
          <w:rFonts w:hint="eastAsia" w:cs="Arial"/>
          <w:color w:val="000000"/>
        </w:rPr>
        <w:t>供应商：</w:t>
      </w:r>
      <w:r>
        <w:rPr>
          <w:szCs w:val="24"/>
          <w:u w:val="single"/>
        </w:rPr>
        <w:t xml:space="preserve">            </w:t>
      </w:r>
      <w:r>
        <w:rPr>
          <w:rFonts w:hint="eastAsia" w:cs="Arial"/>
          <w:color w:val="000000"/>
        </w:rPr>
        <w:t xml:space="preserve">（盖单位章） </w:t>
      </w:r>
    </w:p>
    <w:p w14:paraId="008A6D9B">
      <w:pPr>
        <w:adjustRightInd w:val="0"/>
        <w:snapToGrid w:val="0"/>
        <w:spacing w:line="360" w:lineRule="auto"/>
        <w:ind w:firstLine="4410" w:firstLineChars="2100"/>
        <w:rPr>
          <w:rFonts w:cs="Arial"/>
          <w:color w:val="000000"/>
        </w:rPr>
      </w:pPr>
      <w:r>
        <w:rPr>
          <w:rFonts w:hint="eastAsia" w:cs="Arial"/>
          <w:color w:val="000000"/>
        </w:rPr>
        <w:t>法定代表人：</w:t>
      </w:r>
      <w:r>
        <w:rPr>
          <w:szCs w:val="24"/>
          <w:u w:val="single"/>
        </w:rPr>
        <w:t xml:space="preserve">             </w:t>
      </w:r>
      <w:r>
        <w:rPr>
          <w:rFonts w:hint="eastAsia" w:cs="Arial"/>
          <w:color w:val="000000"/>
        </w:rPr>
        <w:t xml:space="preserve">（签字） </w:t>
      </w:r>
    </w:p>
    <w:p w14:paraId="5A851582">
      <w:pPr>
        <w:adjustRightInd w:val="0"/>
        <w:snapToGrid w:val="0"/>
        <w:spacing w:line="360" w:lineRule="auto"/>
        <w:ind w:firstLine="4410" w:firstLineChars="2100"/>
        <w:rPr>
          <w:rFonts w:cs="Arial"/>
          <w:color w:val="000000"/>
        </w:rPr>
      </w:pPr>
      <w:r>
        <w:rPr>
          <w:rFonts w:hint="eastAsia" w:cs="Arial"/>
          <w:color w:val="000000"/>
        </w:rPr>
        <w:t>身份证号码：</w:t>
      </w:r>
      <w:r>
        <w:rPr>
          <w:szCs w:val="24"/>
          <w:u w:val="single"/>
        </w:rPr>
        <w:t xml:space="preserve">              </w:t>
      </w:r>
    </w:p>
    <w:p w14:paraId="3114B7B9">
      <w:pPr>
        <w:adjustRightInd w:val="0"/>
        <w:snapToGrid w:val="0"/>
        <w:spacing w:line="360" w:lineRule="auto"/>
        <w:ind w:firstLine="4410" w:firstLineChars="2100"/>
        <w:rPr>
          <w:rFonts w:cs="Arial"/>
          <w:color w:val="000000"/>
        </w:rPr>
      </w:pPr>
      <w:r>
        <w:rPr>
          <w:rFonts w:hint="eastAsia" w:cs="Arial"/>
          <w:color w:val="000000"/>
        </w:rPr>
        <w:t>委托代理人：</w:t>
      </w:r>
      <w:r>
        <w:rPr>
          <w:szCs w:val="24"/>
          <w:u w:val="single"/>
        </w:rPr>
        <w:t xml:space="preserve">            </w:t>
      </w:r>
      <w:r>
        <w:rPr>
          <w:rFonts w:hint="eastAsia" w:cs="Arial"/>
          <w:color w:val="000000"/>
        </w:rPr>
        <w:t xml:space="preserve">（签字） </w:t>
      </w:r>
    </w:p>
    <w:p w14:paraId="317B443B">
      <w:pPr>
        <w:adjustRightInd w:val="0"/>
        <w:snapToGrid w:val="0"/>
        <w:spacing w:line="360" w:lineRule="auto"/>
        <w:ind w:firstLine="4410" w:firstLineChars="2100"/>
        <w:rPr>
          <w:rFonts w:cs="Arial"/>
          <w:color w:val="000000"/>
        </w:rPr>
      </w:pPr>
      <w:r>
        <w:rPr>
          <w:rFonts w:hint="eastAsia" w:cs="Arial"/>
          <w:color w:val="000000"/>
        </w:rPr>
        <w:t>身份证号码：</w:t>
      </w:r>
      <w:r>
        <w:rPr>
          <w:szCs w:val="24"/>
          <w:u w:val="single"/>
        </w:rPr>
        <w:t xml:space="preserve"> </w:t>
      </w:r>
      <w:r>
        <w:rPr>
          <w:rFonts w:hint="eastAsia"/>
          <w:szCs w:val="24"/>
          <w:u w:val="single"/>
        </w:rPr>
        <w:t xml:space="preserve"> </w:t>
      </w:r>
      <w:r>
        <w:rPr>
          <w:szCs w:val="24"/>
          <w:u w:val="single"/>
        </w:rPr>
        <w:t xml:space="preserve">            </w:t>
      </w:r>
    </w:p>
    <w:p w14:paraId="7124F168">
      <w:pPr>
        <w:adjustRightInd w:val="0"/>
        <w:snapToGrid w:val="0"/>
        <w:spacing w:line="360" w:lineRule="auto"/>
        <w:ind w:firstLine="4620" w:firstLineChars="2200"/>
        <w:rPr>
          <w:szCs w:val="24"/>
        </w:rPr>
      </w:pPr>
      <w:r>
        <w:rPr>
          <w:szCs w:val="24"/>
          <w:u w:val="single"/>
        </w:rPr>
        <w:t xml:space="preserve">       </w:t>
      </w:r>
      <w:r>
        <w:rPr>
          <w:szCs w:val="24"/>
        </w:rPr>
        <w:t>年</w:t>
      </w:r>
      <w:r>
        <w:rPr>
          <w:szCs w:val="24"/>
          <w:u w:val="single"/>
        </w:rPr>
        <w:t xml:space="preserve">       </w:t>
      </w:r>
      <w:r>
        <w:rPr>
          <w:szCs w:val="24"/>
        </w:rPr>
        <w:t>月</w:t>
      </w:r>
      <w:r>
        <w:rPr>
          <w:szCs w:val="24"/>
          <w:u w:val="single"/>
        </w:rPr>
        <w:t xml:space="preserve">       </w:t>
      </w:r>
      <w:r>
        <w:rPr>
          <w:szCs w:val="24"/>
        </w:rPr>
        <w:t>日</w:t>
      </w:r>
    </w:p>
    <w:p w14:paraId="0DE7EE33">
      <w:pPr>
        <w:pStyle w:val="19"/>
        <w:rPr>
          <w:szCs w:val="24"/>
        </w:rPr>
      </w:pPr>
    </w:p>
    <w:p w14:paraId="096CB913">
      <w:pPr>
        <w:rPr>
          <w:rFonts w:hint="default" w:ascii="Times New Roman" w:hAnsi="Times New Roman" w:cs="Times New Roman"/>
          <w:b/>
          <w:bCs/>
          <w:sz w:val="24"/>
          <w:szCs w:val="24"/>
        </w:rPr>
      </w:pPr>
      <w:r>
        <w:rPr>
          <w:rFonts w:hint="default" w:ascii="Times New Roman" w:hAnsi="Times New Roman" w:cs="Times New Roman"/>
          <w:b/>
          <w:bCs/>
          <w:sz w:val="24"/>
          <w:szCs w:val="24"/>
        </w:rPr>
        <w:t>Доверенность с подтверждением личности законного представителя (1С)</w:t>
      </w:r>
    </w:p>
    <w:p w14:paraId="216C974B">
      <w:pPr>
        <w:rPr>
          <w:rFonts w:hint="default" w:ascii="Times New Roman" w:hAnsi="Times New Roman" w:cs="Times New Roman"/>
          <w:b/>
          <w:bCs/>
          <w:sz w:val="24"/>
          <w:szCs w:val="24"/>
        </w:rPr>
      </w:pPr>
      <w:r>
        <w:rPr>
          <w:rFonts w:hint="default" w:ascii="Times New Roman" w:hAnsi="Times New Roman" w:cs="Times New Roman"/>
          <w:b/>
          <w:bCs/>
          <w:sz w:val="24"/>
          <w:szCs w:val="24"/>
        </w:rPr>
        <w:t>(Применяется в случае наличия фактического поверенного)</w:t>
      </w:r>
    </w:p>
    <w:p w14:paraId="2D568353">
      <w:pPr>
        <w:rPr>
          <w:rFonts w:hint="default" w:ascii="Times New Roman" w:hAnsi="Times New Roman" w:cs="Times New Roman"/>
          <w:sz w:val="24"/>
          <w:szCs w:val="24"/>
        </w:rPr>
      </w:pPr>
      <w:r>
        <w:rPr>
          <w:rFonts w:hint="default" w:ascii="Times New Roman" w:hAnsi="Times New Roman" w:cs="Times New Roman"/>
          <w:sz w:val="24"/>
          <w:szCs w:val="24"/>
        </w:rPr>
        <w:t>Я, (Имя), являясь законным представителем (Наименование участника торгов), настоящим назначаю (Имя) нашим агентом. Агент уполномочен подписывать, уточнять, подтверждать, разъяснять, исправлять, представлять, отзывать, вносить изменения в документацию о закупках (название проекта) (название секции), заключать договор и решать связанные с этим вопросы от нашего имени, и мы несем все правовые последствия этого.</w:t>
      </w:r>
    </w:p>
    <w:p w14:paraId="0B97E1FB">
      <w:pPr>
        <w:rPr>
          <w:rFonts w:hint="default" w:ascii="Times New Roman" w:hAnsi="Times New Roman" w:cs="Times New Roman"/>
          <w:sz w:val="24"/>
          <w:szCs w:val="24"/>
        </w:rPr>
      </w:pPr>
      <w:r>
        <w:rPr>
          <w:rFonts w:hint="default" w:ascii="Times New Roman" w:hAnsi="Times New Roman" w:cs="Times New Roman"/>
          <w:sz w:val="24"/>
          <w:szCs w:val="24"/>
        </w:rPr>
        <w:t>Срок действия полномочий: в течение срока действия оферты.</w:t>
      </w:r>
    </w:p>
    <w:p w14:paraId="28742A5E">
      <w:pPr>
        <w:rPr>
          <w:rFonts w:hint="default" w:ascii="Times New Roman" w:hAnsi="Times New Roman" w:cs="Times New Roman"/>
          <w:sz w:val="24"/>
          <w:szCs w:val="24"/>
        </w:rPr>
      </w:pPr>
      <w:r>
        <w:rPr>
          <w:rFonts w:hint="default" w:ascii="Times New Roman" w:hAnsi="Times New Roman" w:cs="Times New Roman"/>
          <w:sz w:val="24"/>
          <w:szCs w:val="24"/>
        </w:rPr>
        <w:t>Данное разрешение остается в силе до получения письменного уведомления об отзыве разрешения. Все документы, подписанные уполномоченным лицом (подписанные в течение срока действия доверенности), не теряют своей силы в случае отзыва доверенности.</w:t>
      </w:r>
    </w:p>
    <w:p w14:paraId="387828BD">
      <w:pPr>
        <w:rPr>
          <w:rFonts w:hint="default" w:ascii="Times New Roman" w:hAnsi="Times New Roman" w:cs="Times New Roman"/>
          <w:sz w:val="24"/>
          <w:szCs w:val="24"/>
        </w:rPr>
      </w:pPr>
      <w:r>
        <w:rPr>
          <w:rFonts w:hint="default" w:ascii="Times New Roman" w:hAnsi="Times New Roman" w:cs="Times New Roman"/>
          <w:sz w:val="24"/>
          <w:szCs w:val="24"/>
        </w:rPr>
        <w:t>Агент не имеет полномочий на субделегирование.</w:t>
      </w:r>
    </w:p>
    <w:p w14:paraId="4B88F78F">
      <w:pPr>
        <w:rPr>
          <w:rFonts w:hint="default" w:ascii="Times New Roman" w:hAnsi="Times New Roman" w:cs="Times New Roman"/>
          <w:sz w:val="24"/>
          <w:szCs w:val="24"/>
        </w:rPr>
      </w:pPr>
      <w:r>
        <w:rPr>
          <w:rFonts w:hint="default" w:ascii="Times New Roman" w:hAnsi="Times New Roman" w:cs="Times New Roman"/>
          <w:sz w:val="24"/>
          <w:szCs w:val="24"/>
        </w:rPr>
        <w:t xml:space="preserve">Приложение: копия удостоверения личности законного представителя и копия удостоверения личности доверенного лица. </w:t>
      </w:r>
    </w:p>
    <w:p w14:paraId="0274C85B">
      <w:pPr>
        <w:rPr>
          <w:rFonts w:hint="default" w:ascii="Times New Roman" w:hAnsi="Times New Roman" w:cs="Times New Roman"/>
          <w:sz w:val="24"/>
          <w:szCs w:val="24"/>
        </w:rPr>
      </w:pPr>
      <w:r>
        <w:rPr>
          <w:rFonts w:hint="default" w:ascii="Times New Roman" w:hAnsi="Times New Roman" w:cs="Times New Roman"/>
          <w:sz w:val="24"/>
          <w:szCs w:val="24"/>
        </w:rPr>
        <w:t xml:space="preserve">Примечание: Данная доверенность должна быть заверена участником конкурса официальной печатью подразделения и подписана его законным представителем (ответственным лицом подразделения) и доверенным лицом. </w:t>
      </w:r>
    </w:p>
    <w:p w14:paraId="7ED8ECFD">
      <w:pPr>
        <w:rPr>
          <w:rFonts w:hint="default" w:ascii="Times New Roman" w:hAnsi="Times New Roman" w:cs="Times New Roman"/>
          <w:sz w:val="24"/>
          <w:szCs w:val="24"/>
        </w:rPr>
      </w:pPr>
    </w:p>
    <w:p w14:paraId="08224A0B">
      <w:pPr>
        <w:rPr>
          <w:rFonts w:hint="default" w:ascii="Times New Roman" w:hAnsi="Times New Roman" w:cs="Times New Roman"/>
          <w:sz w:val="24"/>
          <w:szCs w:val="24"/>
        </w:rPr>
      </w:pPr>
    </w:p>
    <w:p w14:paraId="61D62AA0">
      <w:pPr>
        <w:rPr>
          <w:rFonts w:hint="default" w:ascii="Times New Roman" w:hAnsi="Times New Roman" w:cs="Times New Roman"/>
          <w:sz w:val="24"/>
          <w:szCs w:val="24"/>
        </w:rPr>
      </w:pPr>
    </w:p>
    <w:p w14:paraId="00CC3A11">
      <w:pPr>
        <w:jc w:val="right"/>
        <w:rPr>
          <w:rFonts w:hint="default" w:ascii="Times New Roman" w:hAnsi="Times New Roman" w:cs="Times New Roman"/>
          <w:sz w:val="24"/>
          <w:szCs w:val="24"/>
        </w:rPr>
      </w:pPr>
      <w:r>
        <w:rPr>
          <w:rFonts w:hint="default" w:ascii="Times New Roman" w:hAnsi="Times New Roman" w:cs="Times New Roman"/>
          <w:sz w:val="24"/>
          <w:szCs w:val="24"/>
        </w:rPr>
        <w:t xml:space="preserve">Поставщик: (печать подразделения) </w:t>
      </w:r>
    </w:p>
    <w:p w14:paraId="757DD0BA">
      <w:pPr>
        <w:jc w:val="right"/>
        <w:rPr>
          <w:rFonts w:hint="default" w:ascii="Times New Roman" w:hAnsi="Times New Roman" w:cs="Times New Roman"/>
          <w:sz w:val="24"/>
          <w:szCs w:val="24"/>
        </w:rPr>
      </w:pPr>
      <w:r>
        <w:rPr>
          <w:rFonts w:hint="default" w:ascii="Times New Roman" w:hAnsi="Times New Roman" w:cs="Times New Roman"/>
          <w:sz w:val="24"/>
          <w:szCs w:val="24"/>
        </w:rPr>
        <w:t xml:space="preserve">Законный представитель: (подпись) </w:t>
      </w:r>
    </w:p>
    <w:p w14:paraId="39C2689C">
      <w:pPr>
        <w:jc w:val="right"/>
        <w:rPr>
          <w:rFonts w:hint="default" w:ascii="Times New Roman" w:hAnsi="Times New Roman" w:cs="Times New Roman"/>
          <w:sz w:val="24"/>
          <w:szCs w:val="24"/>
        </w:rPr>
      </w:pPr>
      <w:r>
        <w:rPr>
          <w:rFonts w:hint="default" w:ascii="Times New Roman" w:hAnsi="Times New Roman" w:cs="Times New Roman"/>
          <w:sz w:val="24"/>
          <w:szCs w:val="24"/>
        </w:rPr>
        <w:t xml:space="preserve">Номер удостоверения личности:              </w:t>
      </w:r>
    </w:p>
    <w:p w14:paraId="45CEB0CD">
      <w:pPr>
        <w:jc w:val="right"/>
        <w:rPr>
          <w:rFonts w:hint="default" w:ascii="Times New Roman" w:hAnsi="Times New Roman" w:cs="Times New Roman"/>
          <w:sz w:val="24"/>
          <w:szCs w:val="24"/>
        </w:rPr>
      </w:pPr>
      <w:r>
        <w:rPr>
          <w:rFonts w:hint="default" w:ascii="Times New Roman" w:hAnsi="Times New Roman" w:cs="Times New Roman"/>
          <w:sz w:val="24"/>
          <w:szCs w:val="24"/>
        </w:rPr>
        <w:t xml:space="preserve">Доверенное лицо: (подпись) </w:t>
      </w:r>
    </w:p>
    <w:p w14:paraId="6E8DC90C">
      <w:pPr>
        <w:jc w:val="right"/>
        <w:rPr>
          <w:rFonts w:hint="eastAsia"/>
        </w:rPr>
      </w:pPr>
      <w:r>
        <w:rPr>
          <w:rFonts w:hint="default" w:ascii="Times New Roman" w:hAnsi="Times New Roman" w:cs="Times New Roman"/>
          <w:sz w:val="24"/>
          <w:szCs w:val="24"/>
        </w:rPr>
        <w:t xml:space="preserve">Номер удостоверения личности: </w:t>
      </w:r>
      <w:r>
        <w:rPr>
          <w:rFonts w:hint="eastAsia"/>
        </w:rPr>
        <w:t xml:space="preserve"> </w:t>
      </w:r>
    </w:p>
    <w:p w14:paraId="43CA8B21">
      <w:pPr>
        <w:jc w:val="right"/>
      </w:pPr>
      <w:r>
        <w:rPr>
          <w:rFonts w:hint="default"/>
          <w:lang w:val="ru-RU"/>
        </w:rPr>
        <w:t>Дата:</w:t>
      </w:r>
      <w:r>
        <w:rPr>
          <w:rFonts w:hint="eastAsia"/>
        </w:rPr>
        <w:t xml:space="preserve">            </w:t>
      </w:r>
    </w:p>
    <w:p w14:paraId="76EF21FE">
      <w:pPr>
        <w:tabs>
          <w:tab w:val="left" w:pos="900"/>
        </w:tabs>
        <w:adjustRightInd w:val="0"/>
        <w:snapToGrid w:val="0"/>
        <w:spacing w:line="300" w:lineRule="auto"/>
        <w:ind w:firstLine="720" w:firstLineChars="300"/>
        <w:rPr>
          <w:sz w:val="24"/>
          <w:szCs w:val="24"/>
          <w:lang w:val="ru-RU"/>
        </w:rPr>
      </w:pPr>
    </w:p>
    <w:p w14:paraId="4AE7BF71">
      <w:pPr>
        <w:pStyle w:val="19"/>
        <w:ind w:firstLine="480"/>
        <w:rPr>
          <w:sz w:val="24"/>
          <w:szCs w:val="24"/>
          <w:lang w:val="ru-RU"/>
        </w:rPr>
      </w:pPr>
    </w:p>
    <w:p w14:paraId="68BD4934">
      <w:pPr>
        <w:spacing w:line="440" w:lineRule="exact"/>
        <w:ind w:left="420" w:leftChars="200"/>
        <w:rPr>
          <w:rFonts w:hint="eastAsia" w:ascii="黑体" w:hAnsi="黑体" w:eastAsia="黑体" w:cs="黑体"/>
          <w:sz w:val="24"/>
        </w:rPr>
      </w:pPr>
      <w:r>
        <w:rPr>
          <w:rFonts w:hint="eastAsia" w:ascii="黑体" w:hAnsi="黑体" w:eastAsia="黑体" w:cs="黑体"/>
          <w:sz w:val="24"/>
        </w:rPr>
        <w:t>二、哈萨克斯坦共和国政府颁发的法人登记证明</w:t>
      </w:r>
    </w:p>
    <w:p w14:paraId="5B416BBB">
      <w:pPr>
        <w:pStyle w:val="19"/>
        <w:ind w:left="0" w:leftChars="0" w:firstLine="0" w:firstLineChars="0"/>
      </w:pPr>
      <w:r>
        <w:rPr>
          <w:rFonts w:eastAsia="Times New Roman"/>
          <w:kern w:val="0"/>
          <w:lang w:eastAsia="zh-CN"/>
        </w:rPr>
        <w:t>Государственное</w:t>
      </w:r>
      <w:r>
        <w:rPr>
          <w:rFonts w:eastAsia="Times New Roman"/>
          <w:kern w:val="0"/>
          <w:lang w:val="en-US" w:eastAsia="zh-CN"/>
        </w:rPr>
        <w:t xml:space="preserve"> </w:t>
      </w:r>
      <w:r>
        <w:rPr>
          <w:rFonts w:eastAsia="Times New Roman"/>
          <w:kern w:val="0"/>
          <w:lang w:eastAsia="zh-CN"/>
        </w:rPr>
        <w:t>свидетельство</w:t>
      </w:r>
      <w:r>
        <w:rPr>
          <w:rFonts w:eastAsia="Times New Roman"/>
          <w:kern w:val="0"/>
          <w:lang w:val="en-US" w:eastAsia="zh-CN"/>
        </w:rPr>
        <w:t xml:space="preserve"> </w:t>
      </w:r>
      <w:r>
        <w:rPr>
          <w:rFonts w:eastAsia="Times New Roman"/>
          <w:kern w:val="0"/>
          <w:lang w:eastAsia="zh-CN"/>
        </w:rPr>
        <w:t>о</w:t>
      </w:r>
      <w:r>
        <w:rPr>
          <w:rFonts w:eastAsia="Times New Roman"/>
          <w:kern w:val="0"/>
          <w:lang w:val="en-US" w:eastAsia="zh-CN"/>
        </w:rPr>
        <w:t xml:space="preserve"> </w:t>
      </w:r>
      <w:r>
        <w:rPr>
          <w:rFonts w:eastAsia="Times New Roman"/>
          <w:kern w:val="0"/>
          <w:lang w:eastAsia="zh-CN"/>
        </w:rPr>
        <w:t>регистрации</w:t>
      </w:r>
      <w:r>
        <w:rPr>
          <w:rFonts w:eastAsia="Times New Roman"/>
          <w:kern w:val="0"/>
          <w:lang w:val="en-US" w:eastAsia="zh-CN"/>
        </w:rPr>
        <w:t xml:space="preserve"> </w:t>
      </w:r>
      <w:r>
        <w:rPr>
          <w:rFonts w:eastAsia="Times New Roman"/>
          <w:kern w:val="0"/>
          <w:lang w:eastAsia="zh-CN"/>
        </w:rPr>
        <w:t>юридического</w:t>
      </w:r>
      <w:r>
        <w:rPr>
          <w:rFonts w:eastAsia="Times New Roman"/>
          <w:kern w:val="0"/>
          <w:lang w:val="en-US" w:eastAsia="zh-CN"/>
        </w:rPr>
        <w:t xml:space="preserve"> </w:t>
      </w:r>
      <w:r>
        <w:rPr>
          <w:rFonts w:eastAsia="Times New Roman"/>
          <w:kern w:val="0"/>
          <w:lang w:eastAsia="zh-CN"/>
        </w:rPr>
        <w:t>лица</w:t>
      </w:r>
      <w:r>
        <w:rPr>
          <w:rFonts w:eastAsia="Times New Roman"/>
          <w:kern w:val="0"/>
          <w:lang w:val="en-US" w:eastAsia="zh-CN"/>
        </w:rPr>
        <w:t xml:space="preserve"> </w:t>
      </w:r>
      <w:r>
        <w:rPr>
          <w:rFonts w:eastAsia="Times New Roman"/>
          <w:kern w:val="0"/>
          <w:lang w:eastAsia="zh-CN"/>
        </w:rPr>
        <w:t>Республики</w:t>
      </w:r>
      <w:r>
        <w:rPr>
          <w:rFonts w:eastAsia="Times New Roman"/>
          <w:kern w:val="0"/>
          <w:lang w:val="en-US" w:eastAsia="zh-CN"/>
        </w:rPr>
        <w:t xml:space="preserve"> </w:t>
      </w:r>
      <w:r>
        <w:rPr>
          <w:rFonts w:eastAsia="Times New Roman"/>
          <w:kern w:val="0"/>
          <w:lang w:eastAsia="zh-CN"/>
        </w:rPr>
        <w:t>Казахстан</w:t>
      </w:r>
      <w:r>
        <w:rPr>
          <w:rFonts w:eastAsia="Times New Roman"/>
          <w:kern w:val="0"/>
          <w:lang w:val="en-US" w:eastAsia="zh-CN"/>
        </w:rPr>
        <w:t xml:space="preserve"> (</w:t>
      </w:r>
      <w:r>
        <w:rPr>
          <w:rFonts w:eastAsia="Times New Roman"/>
          <w:kern w:val="0"/>
          <w:lang w:eastAsia="zh-CN"/>
        </w:rPr>
        <w:t>предоставляется</w:t>
      </w:r>
      <w:r>
        <w:rPr>
          <w:rFonts w:eastAsia="Times New Roman"/>
          <w:kern w:val="0"/>
          <w:lang w:val="en-US" w:eastAsia="zh-CN"/>
        </w:rPr>
        <w:t xml:space="preserve"> </w:t>
      </w:r>
      <w:r>
        <w:rPr>
          <w:rFonts w:eastAsia="Times New Roman"/>
          <w:kern w:val="0"/>
          <w:lang w:eastAsia="zh-CN"/>
        </w:rPr>
        <w:t>при</w:t>
      </w:r>
      <w:r>
        <w:rPr>
          <w:rFonts w:eastAsia="Times New Roman"/>
          <w:kern w:val="0"/>
          <w:lang w:val="en-US" w:eastAsia="zh-CN"/>
        </w:rPr>
        <w:t xml:space="preserve"> </w:t>
      </w:r>
      <w:r>
        <w:rPr>
          <w:rFonts w:eastAsia="Times New Roman"/>
          <w:kern w:val="0"/>
          <w:lang w:eastAsia="zh-CN"/>
        </w:rPr>
        <w:t>участии</w:t>
      </w:r>
      <w:r>
        <w:rPr>
          <w:rFonts w:eastAsia="Times New Roman"/>
          <w:kern w:val="0"/>
          <w:lang w:val="en-US" w:eastAsia="zh-CN"/>
        </w:rPr>
        <w:t xml:space="preserve"> </w:t>
      </w:r>
      <w:r>
        <w:rPr>
          <w:rFonts w:eastAsia="Times New Roman"/>
          <w:kern w:val="0"/>
          <w:lang w:eastAsia="zh-CN"/>
        </w:rPr>
        <w:t>юридического</w:t>
      </w:r>
      <w:r>
        <w:rPr>
          <w:rFonts w:eastAsia="Times New Roman"/>
          <w:kern w:val="0"/>
          <w:lang w:val="en-US" w:eastAsia="zh-CN"/>
        </w:rPr>
        <w:t xml:space="preserve"> </w:t>
      </w:r>
      <w:r>
        <w:rPr>
          <w:rFonts w:eastAsia="Times New Roman"/>
          <w:kern w:val="0"/>
          <w:lang w:eastAsia="zh-CN"/>
        </w:rPr>
        <w:t>лица</w:t>
      </w:r>
      <w:r>
        <w:rPr>
          <w:rFonts w:eastAsia="Times New Roman"/>
          <w:kern w:val="0"/>
          <w:lang w:val="en-US" w:eastAsia="zh-CN"/>
        </w:rPr>
        <w:t xml:space="preserve">, </w:t>
      </w:r>
      <w:r>
        <w:rPr>
          <w:rFonts w:eastAsia="Times New Roman"/>
          <w:kern w:val="0"/>
          <w:lang w:eastAsia="zh-CN"/>
        </w:rPr>
        <w:t>не</w:t>
      </w:r>
      <w:r>
        <w:rPr>
          <w:rFonts w:eastAsia="Times New Roman"/>
          <w:kern w:val="0"/>
          <w:lang w:val="en-US" w:eastAsia="zh-CN"/>
        </w:rPr>
        <w:t xml:space="preserve"> </w:t>
      </w:r>
      <w:r>
        <w:rPr>
          <w:rFonts w:eastAsia="Times New Roman"/>
          <w:kern w:val="0"/>
          <w:lang w:eastAsia="zh-CN"/>
        </w:rPr>
        <w:t>требуется</w:t>
      </w:r>
      <w:r>
        <w:rPr>
          <w:rFonts w:eastAsia="Times New Roman"/>
          <w:kern w:val="0"/>
          <w:lang w:val="en-US" w:eastAsia="zh-CN"/>
        </w:rPr>
        <w:t xml:space="preserve"> </w:t>
      </w:r>
      <w:r>
        <w:rPr>
          <w:rFonts w:eastAsia="Times New Roman"/>
          <w:kern w:val="0"/>
          <w:lang w:eastAsia="zh-CN"/>
        </w:rPr>
        <w:t>для</w:t>
      </w:r>
      <w:r>
        <w:rPr>
          <w:rFonts w:eastAsia="Times New Roman"/>
          <w:kern w:val="0"/>
          <w:lang w:val="en-US" w:eastAsia="zh-CN"/>
        </w:rPr>
        <w:t xml:space="preserve"> </w:t>
      </w:r>
      <w:r>
        <w:rPr>
          <w:rFonts w:eastAsia="Times New Roman"/>
          <w:kern w:val="0"/>
          <w:lang w:eastAsia="zh-CN"/>
        </w:rPr>
        <w:t>участия</w:t>
      </w:r>
      <w:r>
        <w:rPr>
          <w:rFonts w:eastAsia="Times New Roman"/>
          <w:kern w:val="0"/>
          <w:lang w:val="en-US" w:eastAsia="zh-CN"/>
        </w:rPr>
        <w:t xml:space="preserve"> </w:t>
      </w:r>
      <w:r>
        <w:rPr>
          <w:rFonts w:eastAsia="Times New Roman"/>
          <w:kern w:val="0"/>
          <w:lang w:eastAsia="zh-CN"/>
        </w:rPr>
        <w:t>физического</w:t>
      </w:r>
      <w:r>
        <w:rPr>
          <w:rFonts w:eastAsia="Times New Roman"/>
          <w:kern w:val="0"/>
          <w:lang w:val="en-US" w:eastAsia="zh-CN"/>
        </w:rPr>
        <w:t xml:space="preserve"> </w:t>
      </w:r>
      <w:r>
        <w:rPr>
          <w:rFonts w:eastAsia="Times New Roman"/>
          <w:kern w:val="0"/>
          <w:lang w:eastAsia="zh-CN"/>
        </w:rPr>
        <w:t>лица</w:t>
      </w:r>
      <w:r>
        <w:rPr>
          <w:rFonts w:eastAsia="Times New Roman"/>
          <w:kern w:val="0"/>
          <w:lang w:val="en-US" w:eastAsia="zh-CN"/>
        </w:rPr>
        <w:t>).</w:t>
      </w:r>
    </w:p>
    <w:p w14:paraId="09E2EF9F"/>
    <w:p w14:paraId="26DB7E2F">
      <w:pPr>
        <w:pStyle w:val="19"/>
        <w:ind w:firstLine="420"/>
      </w:pPr>
    </w:p>
    <w:p w14:paraId="071B2A08"/>
    <w:p w14:paraId="687C3F3A">
      <w:pPr>
        <w:pStyle w:val="19"/>
        <w:tabs>
          <w:tab w:val="left" w:pos="0"/>
        </w:tabs>
        <w:ind w:left="0" w:leftChars="0" w:firstLine="0" w:firstLineChars="0"/>
        <w:jc w:val="center"/>
        <w:rPr>
          <w:rFonts w:hint="default" w:ascii="Times New Roman" w:hAnsi="Times New Roman" w:cs="Times New Roman"/>
        </w:rPr>
      </w:pPr>
      <w:r>
        <w:t>（</w:t>
      </w:r>
      <w:r>
        <w:rPr>
          <w:rFonts w:ascii="黑体" w:hAnsi="黑体" w:eastAsia="黑体" w:cs="黑体"/>
          <w:sz w:val="24"/>
        </w:rPr>
        <w:t>法人登记证明复印件</w:t>
      </w:r>
      <w:r>
        <w:t>）</w:t>
      </w:r>
      <w:r>
        <w:rPr>
          <w:rFonts w:hint="default" w:ascii="Times New Roman" w:hAnsi="Times New Roman" w:cs="Times New Roman"/>
        </w:rPr>
        <w:t>(Копия свидетельства о регистрации юридического лица)</w:t>
      </w:r>
    </w:p>
    <w:p w14:paraId="5263DE70">
      <w:pPr>
        <w:pStyle w:val="19"/>
        <w:tabs>
          <w:tab w:val="left" w:pos="0"/>
        </w:tabs>
        <w:ind w:left="0" w:leftChars="0" w:firstLine="0" w:firstLineChars="0"/>
        <w:jc w:val="center"/>
      </w:pPr>
      <w:r>
        <w:t xml:space="preserve">            </w:t>
      </w:r>
    </w:p>
    <w:p w14:paraId="751DA99F">
      <w:pPr>
        <w:pStyle w:val="19"/>
        <w:tabs>
          <w:tab w:val="left" w:pos="0"/>
        </w:tabs>
        <w:ind w:left="0" w:leftChars="0" w:firstLine="0" w:firstLineChars="0"/>
        <w:jc w:val="center"/>
      </w:pPr>
    </w:p>
    <w:p w14:paraId="04D3A502">
      <w:pPr>
        <w:pStyle w:val="19"/>
        <w:tabs>
          <w:tab w:val="left" w:pos="0"/>
        </w:tabs>
        <w:ind w:left="0" w:leftChars="0" w:firstLine="0" w:firstLineChars="0"/>
        <w:jc w:val="center"/>
      </w:pPr>
    </w:p>
    <w:p w14:paraId="5486B3C2">
      <w:pPr>
        <w:pStyle w:val="19"/>
        <w:tabs>
          <w:tab w:val="left" w:pos="0"/>
        </w:tabs>
        <w:ind w:left="0" w:leftChars="0" w:firstLine="0" w:firstLineChars="0"/>
        <w:jc w:val="center"/>
      </w:pPr>
    </w:p>
    <w:p w14:paraId="3735257B">
      <w:pPr>
        <w:pStyle w:val="19"/>
        <w:tabs>
          <w:tab w:val="left" w:pos="0"/>
        </w:tabs>
        <w:ind w:left="0" w:leftChars="0" w:firstLine="0" w:firstLineChars="0"/>
        <w:jc w:val="center"/>
      </w:pPr>
    </w:p>
    <w:p w14:paraId="51B7692B">
      <w:pPr>
        <w:pStyle w:val="19"/>
        <w:tabs>
          <w:tab w:val="left" w:pos="0"/>
        </w:tabs>
        <w:ind w:left="0" w:leftChars="0" w:firstLine="0" w:firstLineChars="0"/>
        <w:jc w:val="center"/>
      </w:pPr>
    </w:p>
    <w:p w14:paraId="30F46AC8">
      <w:pPr>
        <w:pStyle w:val="19"/>
        <w:tabs>
          <w:tab w:val="left" w:pos="0"/>
        </w:tabs>
        <w:ind w:left="0" w:leftChars="0" w:firstLine="0" w:firstLineChars="0"/>
        <w:jc w:val="right"/>
        <w:rPr>
          <w:szCs w:val="24"/>
        </w:rPr>
      </w:pPr>
      <w:r>
        <w:t xml:space="preserve">      </w:t>
      </w:r>
      <w:r>
        <w:rPr>
          <w:szCs w:val="24"/>
        </w:rPr>
        <w:t>供应商(公章)：</w:t>
      </w:r>
      <w:r>
        <w:rPr>
          <w:rFonts w:hint="default" w:ascii="Times New Roman" w:hAnsi="Times New Roman" w:cs="Times New Roman"/>
          <w:sz w:val="24"/>
          <w:szCs w:val="24"/>
        </w:rPr>
        <w:t>Поставщик: (печать подразделения)</w:t>
      </w:r>
    </w:p>
    <w:p w14:paraId="7BDA871C">
      <w:pPr>
        <w:ind w:firstLine="4092" w:firstLineChars="1949"/>
        <w:jc w:val="right"/>
        <w:rPr>
          <w:szCs w:val="24"/>
        </w:rPr>
      </w:pPr>
    </w:p>
    <w:p w14:paraId="72077AC1">
      <w:pPr>
        <w:jc w:val="right"/>
        <w:rPr>
          <w:szCs w:val="24"/>
        </w:rPr>
      </w:pPr>
      <w:r>
        <w:rPr>
          <w:rFonts w:hint="eastAsia"/>
          <w:szCs w:val="24"/>
        </w:rPr>
        <w:t>法定代表人或其委托代理人签字：</w:t>
      </w:r>
      <w:r>
        <w:rPr>
          <w:rFonts w:hint="default" w:ascii="Times New Roman" w:hAnsi="Times New Roman" w:cs="Times New Roman"/>
          <w:sz w:val="24"/>
          <w:szCs w:val="24"/>
        </w:rPr>
        <w:t>Законный представитель: (подпись)</w:t>
      </w:r>
    </w:p>
    <w:p w14:paraId="0F4DFAE8">
      <w:pPr>
        <w:ind w:firstLine="4092" w:firstLineChars="1949"/>
        <w:jc w:val="right"/>
        <w:rPr>
          <w:szCs w:val="24"/>
          <w:u w:val="single"/>
        </w:rPr>
      </w:pPr>
    </w:p>
    <w:p w14:paraId="60F9A141">
      <w:pPr>
        <w:ind w:firstLine="4092" w:firstLineChars="1949"/>
        <w:jc w:val="right"/>
        <w:rPr>
          <w:rFonts w:hint="default"/>
          <w:szCs w:val="24"/>
          <w:u w:val="single"/>
          <w:lang w:val="ru-RU"/>
        </w:rPr>
      </w:pPr>
      <w:r>
        <w:rPr>
          <w:rFonts w:hint="eastAsia"/>
          <w:szCs w:val="24"/>
        </w:rPr>
        <w:t>日期：</w:t>
      </w:r>
      <w:r>
        <w:rPr>
          <w:szCs w:val="24"/>
          <w:u w:val="single"/>
        </w:rPr>
        <w:t xml:space="preserve">       </w:t>
      </w:r>
      <w:r>
        <w:rPr>
          <w:rFonts w:hint="eastAsia"/>
          <w:szCs w:val="24"/>
        </w:rPr>
        <w:t>年</w:t>
      </w:r>
      <w:r>
        <w:rPr>
          <w:szCs w:val="24"/>
          <w:u w:val="single"/>
        </w:rPr>
        <w:t xml:space="preserve">   </w:t>
      </w:r>
      <w:r>
        <w:rPr>
          <w:rFonts w:hint="eastAsia"/>
          <w:szCs w:val="24"/>
        </w:rPr>
        <w:t>月</w:t>
      </w:r>
      <w:r>
        <w:rPr>
          <w:rFonts w:hint="eastAsia"/>
          <w:szCs w:val="24"/>
          <w:u w:val="single"/>
        </w:rPr>
        <w:t xml:space="preserve"> </w:t>
      </w:r>
      <w:r>
        <w:rPr>
          <w:szCs w:val="24"/>
          <w:u w:val="single"/>
        </w:rPr>
        <w:t xml:space="preserve">  </w:t>
      </w:r>
      <w:r>
        <w:rPr>
          <w:rFonts w:hint="eastAsia"/>
          <w:szCs w:val="24"/>
        </w:rPr>
        <w:t>日</w:t>
      </w:r>
      <w:r>
        <w:rPr>
          <w:rFonts w:hint="default"/>
          <w:szCs w:val="24"/>
          <w:lang w:val="ru-RU"/>
        </w:rPr>
        <w:t xml:space="preserve"> Дата:</w:t>
      </w:r>
    </w:p>
    <w:p w14:paraId="060B5E3A">
      <w:pPr>
        <w:rPr>
          <w:rFonts w:hint="eastAsia" w:ascii="黑体" w:hAnsi="黑体" w:eastAsia="黑体" w:cs="黑体"/>
          <w:sz w:val="24"/>
        </w:rPr>
      </w:pPr>
    </w:p>
    <w:p w14:paraId="3AE0B171">
      <w:pPr>
        <w:pStyle w:val="19"/>
        <w:ind w:firstLine="480"/>
        <w:rPr>
          <w:rFonts w:ascii="黑体" w:hAnsi="黑体" w:eastAsia="黑体" w:cs="黑体"/>
          <w:sz w:val="24"/>
        </w:rPr>
      </w:pPr>
    </w:p>
    <w:p w14:paraId="2055BEDD">
      <w:pPr>
        <w:rPr>
          <w:rFonts w:hint="eastAsia" w:ascii="黑体" w:hAnsi="黑体" w:eastAsia="黑体" w:cs="黑体"/>
          <w:sz w:val="24"/>
        </w:rPr>
      </w:pPr>
    </w:p>
    <w:p w14:paraId="266E8504">
      <w:pPr>
        <w:pStyle w:val="19"/>
        <w:ind w:firstLine="420"/>
      </w:pPr>
    </w:p>
    <w:p w14:paraId="5BC6A4CB">
      <w:pPr>
        <w:pStyle w:val="19"/>
        <w:ind w:firstLine="420"/>
      </w:pPr>
    </w:p>
    <w:p w14:paraId="7B96ED3E">
      <w:pPr>
        <w:rPr>
          <w:rFonts w:hint="eastAsia" w:ascii="黑体" w:hAnsi="黑体" w:eastAsia="黑体" w:cs="Microsoft JhengHei"/>
          <w:bCs/>
          <w:sz w:val="28"/>
          <w:szCs w:val="28"/>
        </w:rPr>
      </w:pPr>
      <w:r>
        <w:rPr>
          <w:rFonts w:hint="eastAsia" w:ascii="黑体" w:hAnsi="黑体" w:eastAsia="黑体" w:cs="Microsoft JhengHei"/>
          <w:bCs/>
          <w:sz w:val="28"/>
          <w:szCs w:val="28"/>
        </w:rPr>
        <w:br w:type="page"/>
      </w:r>
    </w:p>
    <w:p w14:paraId="0F278650">
      <w:pPr>
        <w:pStyle w:val="12"/>
      </w:pPr>
      <w:r>
        <w:rPr>
          <w:rFonts w:hint="eastAsia" w:ascii="黑体" w:hAnsi="黑体" w:eastAsia="黑体" w:cs="黑体"/>
          <w:kern w:val="2"/>
          <w:sz w:val="24"/>
          <w:szCs w:val="22"/>
          <w:lang w:val="en-US" w:eastAsia="zh-CN" w:bidi="ar-SA"/>
        </w:rPr>
        <w:t>三、商务、技术偏差</w:t>
      </w:r>
      <w:r>
        <w:t>Коммерческие и технические отклонения</w:t>
      </w:r>
    </w:p>
    <w:p w14:paraId="770ED6CD">
      <w:pPr>
        <w:ind w:left="420" w:leftChars="200"/>
      </w:pPr>
    </w:p>
    <w:p w14:paraId="747F6937">
      <w:pPr>
        <w:spacing w:line="240" w:lineRule="auto"/>
        <w:jc w:val="center"/>
        <w:rPr>
          <w:rFonts w:ascii="黑体" w:hAnsi="黑体" w:eastAsia="黑体"/>
          <w:szCs w:val="24"/>
        </w:rPr>
      </w:pPr>
      <w:r>
        <w:rPr>
          <w:rFonts w:hint="eastAsia" w:ascii="黑体" w:hAnsi="黑体" w:eastAsia="黑体" w:cs="Microsoft JhengHei"/>
          <w:bCs/>
          <w:sz w:val="28"/>
          <w:szCs w:val="28"/>
        </w:rPr>
        <w:t>商务条款偏差表</w:t>
      </w:r>
      <w:r>
        <w:t>Таблица коммерческих отклонений</w:t>
      </w:r>
    </w:p>
    <w:tbl>
      <w:tblPr>
        <w:tblStyle w:val="2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14:paraId="079C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14:paraId="2B267EDB">
            <w:pPr>
              <w:spacing w:line="240" w:lineRule="auto"/>
              <w:jc w:val="center"/>
              <w:rPr>
                <w:sz w:val="22"/>
              </w:rPr>
            </w:pPr>
            <w:r>
              <w:rPr>
                <w:rFonts w:hint="eastAsia"/>
                <w:sz w:val="22"/>
              </w:rPr>
              <w:t>序号</w:t>
            </w:r>
            <w:r>
              <w:t>№</w:t>
            </w:r>
          </w:p>
        </w:tc>
        <w:tc>
          <w:tcPr>
            <w:tcW w:w="3871" w:type="dxa"/>
            <w:gridSpan w:val="2"/>
            <w:tcMar>
              <w:left w:w="28" w:type="dxa"/>
              <w:right w:w="28" w:type="dxa"/>
            </w:tcMar>
            <w:vAlign w:val="center"/>
          </w:tcPr>
          <w:p w14:paraId="02D53494">
            <w:pPr>
              <w:spacing w:line="240" w:lineRule="auto"/>
              <w:jc w:val="center"/>
              <w:rPr>
                <w:sz w:val="22"/>
              </w:rPr>
            </w:pPr>
            <w:r>
              <w:rPr>
                <w:rFonts w:hint="eastAsia"/>
                <w:sz w:val="22"/>
              </w:rPr>
              <w:t>采购文件</w:t>
            </w:r>
            <w:r>
              <w:t>Документы закупки</w:t>
            </w:r>
          </w:p>
        </w:tc>
        <w:tc>
          <w:tcPr>
            <w:tcW w:w="3872" w:type="dxa"/>
            <w:gridSpan w:val="2"/>
            <w:tcMar>
              <w:left w:w="28" w:type="dxa"/>
              <w:right w:w="28" w:type="dxa"/>
            </w:tcMar>
            <w:vAlign w:val="center"/>
          </w:tcPr>
          <w:p w14:paraId="155F54A1">
            <w:pPr>
              <w:spacing w:line="240" w:lineRule="auto"/>
              <w:jc w:val="center"/>
              <w:rPr>
                <w:sz w:val="22"/>
              </w:rPr>
            </w:pPr>
            <w:r>
              <w:rPr>
                <w:rFonts w:hint="eastAsia"/>
                <w:sz w:val="22"/>
              </w:rPr>
              <w:t>响应文件</w:t>
            </w:r>
            <w:r>
              <w:t>Ответные документы</w:t>
            </w:r>
          </w:p>
        </w:tc>
      </w:tr>
      <w:tr w14:paraId="2A5D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14:paraId="0EDEBF1F">
            <w:pPr>
              <w:spacing w:line="240" w:lineRule="auto"/>
              <w:jc w:val="center"/>
              <w:rPr>
                <w:sz w:val="22"/>
              </w:rPr>
            </w:pPr>
          </w:p>
        </w:tc>
        <w:tc>
          <w:tcPr>
            <w:tcW w:w="1340" w:type="dxa"/>
            <w:tcMar>
              <w:left w:w="28" w:type="dxa"/>
              <w:right w:w="28" w:type="dxa"/>
            </w:tcMar>
            <w:vAlign w:val="center"/>
          </w:tcPr>
          <w:p w14:paraId="403B950A">
            <w:pPr>
              <w:spacing w:line="240" w:lineRule="auto"/>
              <w:jc w:val="center"/>
              <w:rPr>
                <w:sz w:val="22"/>
              </w:rPr>
            </w:pPr>
            <w:r>
              <w:rPr>
                <w:rFonts w:hint="eastAsia"/>
                <w:sz w:val="22"/>
              </w:rPr>
              <w:t>条目</w:t>
            </w:r>
            <w:r>
              <w:t xml:space="preserve">Пункт </w:t>
            </w:r>
          </w:p>
        </w:tc>
        <w:tc>
          <w:tcPr>
            <w:tcW w:w="2531" w:type="dxa"/>
            <w:tcMar>
              <w:left w:w="28" w:type="dxa"/>
              <w:right w:w="28" w:type="dxa"/>
            </w:tcMar>
            <w:vAlign w:val="center"/>
          </w:tcPr>
          <w:p w14:paraId="795337B6">
            <w:pPr>
              <w:spacing w:line="240" w:lineRule="auto"/>
              <w:jc w:val="center"/>
              <w:rPr>
                <w:sz w:val="22"/>
              </w:rPr>
            </w:pPr>
            <w:r>
              <w:rPr>
                <w:rFonts w:hint="eastAsia"/>
                <w:sz w:val="22"/>
              </w:rPr>
              <w:t>简要内容</w:t>
            </w:r>
            <w:r>
              <w:t>Краткое содержание</w:t>
            </w:r>
          </w:p>
        </w:tc>
        <w:tc>
          <w:tcPr>
            <w:tcW w:w="1341" w:type="dxa"/>
            <w:tcMar>
              <w:left w:w="28" w:type="dxa"/>
              <w:right w:w="28" w:type="dxa"/>
            </w:tcMar>
            <w:vAlign w:val="center"/>
          </w:tcPr>
          <w:p w14:paraId="481F60CA">
            <w:pPr>
              <w:spacing w:line="240" w:lineRule="auto"/>
              <w:jc w:val="center"/>
              <w:rPr>
                <w:sz w:val="22"/>
              </w:rPr>
            </w:pPr>
            <w:r>
              <w:rPr>
                <w:rFonts w:hint="eastAsia"/>
                <w:sz w:val="22"/>
              </w:rPr>
              <w:t>条目</w:t>
            </w:r>
            <w:r>
              <w:t>Пункт</w:t>
            </w:r>
          </w:p>
        </w:tc>
        <w:tc>
          <w:tcPr>
            <w:tcW w:w="2531" w:type="dxa"/>
            <w:tcMar>
              <w:left w:w="28" w:type="dxa"/>
              <w:right w:w="28" w:type="dxa"/>
            </w:tcMar>
            <w:vAlign w:val="center"/>
          </w:tcPr>
          <w:p w14:paraId="79F6942A">
            <w:pPr>
              <w:spacing w:line="240" w:lineRule="auto"/>
              <w:jc w:val="center"/>
              <w:rPr>
                <w:sz w:val="22"/>
              </w:rPr>
            </w:pPr>
            <w:r>
              <w:rPr>
                <w:rFonts w:hint="eastAsia"/>
                <w:sz w:val="22"/>
              </w:rPr>
              <w:t>简要内容</w:t>
            </w:r>
            <w:r>
              <w:t>Краткое содержание</w:t>
            </w:r>
          </w:p>
        </w:tc>
      </w:tr>
      <w:tr w14:paraId="70D2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340" w:type="dxa"/>
            <w:tcMar>
              <w:left w:w="28" w:type="dxa"/>
              <w:right w:w="28" w:type="dxa"/>
            </w:tcMar>
            <w:vAlign w:val="center"/>
          </w:tcPr>
          <w:p w14:paraId="03A8D4DF">
            <w:pPr>
              <w:spacing w:line="240" w:lineRule="auto"/>
              <w:jc w:val="center"/>
              <w:rPr>
                <w:sz w:val="22"/>
              </w:rPr>
            </w:pPr>
          </w:p>
        </w:tc>
        <w:tc>
          <w:tcPr>
            <w:tcW w:w="1340" w:type="dxa"/>
            <w:tcMar>
              <w:left w:w="28" w:type="dxa"/>
              <w:right w:w="28" w:type="dxa"/>
            </w:tcMar>
            <w:vAlign w:val="center"/>
          </w:tcPr>
          <w:p w14:paraId="21EDCA03">
            <w:pPr>
              <w:spacing w:line="240" w:lineRule="auto"/>
              <w:jc w:val="center"/>
              <w:rPr>
                <w:rFonts w:hint="eastAsia" w:eastAsia="宋体"/>
                <w:sz w:val="22"/>
                <w:lang w:val="en-US" w:eastAsia="zh-CN"/>
              </w:rPr>
            </w:pPr>
          </w:p>
        </w:tc>
        <w:tc>
          <w:tcPr>
            <w:tcW w:w="2531" w:type="dxa"/>
            <w:tcMar>
              <w:left w:w="28" w:type="dxa"/>
              <w:right w:w="28" w:type="dxa"/>
            </w:tcMar>
            <w:vAlign w:val="center"/>
          </w:tcPr>
          <w:p w14:paraId="02A6EF6E">
            <w:pPr>
              <w:spacing w:line="240" w:lineRule="auto"/>
              <w:jc w:val="center"/>
              <w:rPr>
                <w:sz w:val="22"/>
              </w:rPr>
            </w:pPr>
          </w:p>
        </w:tc>
        <w:tc>
          <w:tcPr>
            <w:tcW w:w="1341" w:type="dxa"/>
            <w:tcMar>
              <w:left w:w="28" w:type="dxa"/>
              <w:right w:w="28" w:type="dxa"/>
            </w:tcMar>
            <w:vAlign w:val="center"/>
          </w:tcPr>
          <w:p w14:paraId="7E2A8FD6">
            <w:pPr>
              <w:spacing w:line="240" w:lineRule="auto"/>
              <w:jc w:val="center"/>
              <w:rPr>
                <w:rFonts w:hint="eastAsia" w:eastAsia="宋体"/>
                <w:sz w:val="22"/>
                <w:lang w:val="en-US" w:eastAsia="zh-CN"/>
              </w:rPr>
            </w:pPr>
          </w:p>
        </w:tc>
        <w:tc>
          <w:tcPr>
            <w:tcW w:w="2531" w:type="dxa"/>
            <w:tcMar>
              <w:left w:w="28" w:type="dxa"/>
              <w:right w:w="28" w:type="dxa"/>
            </w:tcMar>
            <w:vAlign w:val="center"/>
          </w:tcPr>
          <w:p w14:paraId="5417F08F">
            <w:pPr>
              <w:spacing w:line="240" w:lineRule="auto"/>
              <w:jc w:val="center"/>
              <w:rPr>
                <w:sz w:val="22"/>
              </w:rPr>
            </w:pPr>
          </w:p>
        </w:tc>
      </w:tr>
      <w:tr w14:paraId="2BF9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14:paraId="0EBAF6FE">
            <w:pPr>
              <w:spacing w:line="240" w:lineRule="auto"/>
              <w:jc w:val="center"/>
              <w:rPr>
                <w:sz w:val="22"/>
              </w:rPr>
            </w:pPr>
          </w:p>
        </w:tc>
        <w:tc>
          <w:tcPr>
            <w:tcW w:w="1340" w:type="dxa"/>
            <w:tcMar>
              <w:left w:w="28" w:type="dxa"/>
              <w:right w:w="28" w:type="dxa"/>
            </w:tcMar>
            <w:vAlign w:val="center"/>
          </w:tcPr>
          <w:p w14:paraId="4D88DE77">
            <w:pPr>
              <w:spacing w:line="240" w:lineRule="auto"/>
              <w:jc w:val="center"/>
              <w:rPr>
                <w:sz w:val="22"/>
              </w:rPr>
            </w:pPr>
          </w:p>
        </w:tc>
        <w:tc>
          <w:tcPr>
            <w:tcW w:w="2531" w:type="dxa"/>
            <w:tcMar>
              <w:left w:w="28" w:type="dxa"/>
              <w:right w:w="28" w:type="dxa"/>
            </w:tcMar>
            <w:vAlign w:val="center"/>
          </w:tcPr>
          <w:p w14:paraId="4FE98CFF">
            <w:pPr>
              <w:spacing w:line="240" w:lineRule="auto"/>
              <w:jc w:val="center"/>
              <w:rPr>
                <w:sz w:val="22"/>
              </w:rPr>
            </w:pPr>
          </w:p>
        </w:tc>
        <w:tc>
          <w:tcPr>
            <w:tcW w:w="1341" w:type="dxa"/>
            <w:tcMar>
              <w:left w:w="28" w:type="dxa"/>
              <w:right w:w="28" w:type="dxa"/>
            </w:tcMar>
            <w:vAlign w:val="center"/>
          </w:tcPr>
          <w:p w14:paraId="55BCDA59">
            <w:pPr>
              <w:spacing w:line="240" w:lineRule="auto"/>
              <w:jc w:val="center"/>
              <w:rPr>
                <w:sz w:val="22"/>
              </w:rPr>
            </w:pPr>
          </w:p>
        </w:tc>
        <w:tc>
          <w:tcPr>
            <w:tcW w:w="2531" w:type="dxa"/>
            <w:tcMar>
              <w:left w:w="28" w:type="dxa"/>
              <w:right w:w="28" w:type="dxa"/>
            </w:tcMar>
            <w:vAlign w:val="center"/>
          </w:tcPr>
          <w:p w14:paraId="53CB34A1">
            <w:pPr>
              <w:spacing w:line="240" w:lineRule="auto"/>
              <w:jc w:val="center"/>
              <w:rPr>
                <w:sz w:val="22"/>
              </w:rPr>
            </w:pPr>
          </w:p>
        </w:tc>
      </w:tr>
    </w:tbl>
    <w:p w14:paraId="52784DC8">
      <w:pPr>
        <w:tabs>
          <w:tab w:val="left" w:pos="630"/>
        </w:tabs>
        <w:ind w:firstLine="480"/>
        <w:rPr>
          <w:szCs w:val="24"/>
        </w:rPr>
      </w:pPr>
    </w:p>
    <w:p w14:paraId="2C63C32D">
      <w:pPr>
        <w:pStyle w:val="19"/>
        <w:ind w:firstLine="420"/>
        <w:rPr>
          <w:rFonts w:hint="default"/>
        </w:rPr>
      </w:pPr>
    </w:p>
    <w:p w14:paraId="29AF3311">
      <w:pPr>
        <w:pStyle w:val="19"/>
        <w:ind w:firstLine="420"/>
        <w:rPr>
          <w:rFonts w:hint="default"/>
        </w:rPr>
      </w:pPr>
    </w:p>
    <w:p w14:paraId="7E0FEB5D">
      <w:pPr>
        <w:pStyle w:val="19"/>
        <w:ind w:firstLine="420"/>
        <w:rPr>
          <w:rFonts w:hint="default"/>
        </w:rPr>
      </w:pPr>
    </w:p>
    <w:p w14:paraId="5402EF63">
      <w:pPr>
        <w:spacing w:line="240" w:lineRule="auto"/>
        <w:jc w:val="center"/>
        <w:rPr>
          <w:rFonts w:ascii="黑体" w:hAnsi="黑体" w:eastAsia="黑体"/>
          <w:szCs w:val="24"/>
        </w:rPr>
      </w:pPr>
      <w:r>
        <w:rPr>
          <w:rFonts w:hint="eastAsia" w:ascii="黑体" w:hAnsi="黑体" w:eastAsia="黑体" w:cs="Microsoft JhengHei"/>
          <w:bCs/>
          <w:sz w:val="28"/>
          <w:szCs w:val="28"/>
        </w:rPr>
        <w:t>技术条款偏差表</w:t>
      </w:r>
      <w:r>
        <w:t>Таблица технических отклонений</w:t>
      </w:r>
    </w:p>
    <w:tbl>
      <w:tblPr>
        <w:tblStyle w:val="2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14:paraId="5932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14:paraId="38D440E0">
            <w:pPr>
              <w:spacing w:line="240" w:lineRule="auto"/>
              <w:jc w:val="center"/>
              <w:rPr>
                <w:sz w:val="22"/>
              </w:rPr>
            </w:pPr>
            <w:r>
              <w:rPr>
                <w:rFonts w:hint="eastAsia"/>
                <w:sz w:val="22"/>
              </w:rPr>
              <w:t>序号</w:t>
            </w:r>
            <w:r>
              <w:t>№</w:t>
            </w:r>
          </w:p>
        </w:tc>
        <w:tc>
          <w:tcPr>
            <w:tcW w:w="3871" w:type="dxa"/>
            <w:gridSpan w:val="2"/>
            <w:tcMar>
              <w:left w:w="28" w:type="dxa"/>
              <w:right w:w="28" w:type="dxa"/>
            </w:tcMar>
            <w:vAlign w:val="center"/>
          </w:tcPr>
          <w:p w14:paraId="42262A89">
            <w:pPr>
              <w:spacing w:line="240" w:lineRule="auto"/>
              <w:jc w:val="center"/>
              <w:rPr>
                <w:sz w:val="22"/>
              </w:rPr>
            </w:pPr>
            <w:r>
              <w:rPr>
                <w:rFonts w:hint="eastAsia"/>
                <w:sz w:val="22"/>
              </w:rPr>
              <w:t>采购文件</w:t>
            </w:r>
            <w:r>
              <w:t>Документы закупки</w:t>
            </w:r>
          </w:p>
        </w:tc>
        <w:tc>
          <w:tcPr>
            <w:tcW w:w="3872" w:type="dxa"/>
            <w:gridSpan w:val="2"/>
            <w:tcMar>
              <w:left w:w="28" w:type="dxa"/>
              <w:right w:w="28" w:type="dxa"/>
            </w:tcMar>
            <w:vAlign w:val="center"/>
          </w:tcPr>
          <w:p w14:paraId="5D68B4FB">
            <w:pPr>
              <w:spacing w:line="240" w:lineRule="auto"/>
              <w:jc w:val="center"/>
              <w:rPr>
                <w:sz w:val="22"/>
              </w:rPr>
            </w:pPr>
            <w:r>
              <w:rPr>
                <w:rFonts w:hint="eastAsia"/>
                <w:sz w:val="22"/>
              </w:rPr>
              <w:t>响应文件</w:t>
            </w:r>
            <w:r>
              <w:t>Ответные документы</w:t>
            </w:r>
          </w:p>
        </w:tc>
      </w:tr>
      <w:tr w14:paraId="5B76C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14:paraId="491335A8">
            <w:pPr>
              <w:spacing w:line="240" w:lineRule="auto"/>
              <w:jc w:val="center"/>
              <w:rPr>
                <w:sz w:val="22"/>
              </w:rPr>
            </w:pPr>
          </w:p>
        </w:tc>
        <w:tc>
          <w:tcPr>
            <w:tcW w:w="1340" w:type="dxa"/>
            <w:tcMar>
              <w:left w:w="28" w:type="dxa"/>
              <w:right w:w="28" w:type="dxa"/>
            </w:tcMar>
            <w:vAlign w:val="center"/>
          </w:tcPr>
          <w:p w14:paraId="00BFCF94">
            <w:pPr>
              <w:spacing w:line="240" w:lineRule="auto"/>
              <w:jc w:val="center"/>
              <w:rPr>
                <w:sz w:val="22"/>
              </w:rPr>
            </w:pPr>
            <w:r>
              <w:rPr>
                <w:rFonts w:hint="eastAsia"/>
                <w:sz w:val="22"/>
              </w:rPr>
              <w:t>条目</w:t>
            </w:r>
            <w:r>
              <w:t xml:space="preserve">Пункт </w:t>
            </w:r>
          </w:p>
        </w:tc>
        <w:tc>
          <w:tcPr>
            <w:tcW w:w="2531" w:type="dxa"/>
            <w:tcMar>
              <w:left w:w="28" w:type="dxa"/>
              <w:right w:w="28" w:type="dxa"/>
            </w:tcMar>
            <w:vAlign w:val="center"/>
          </w:tcPr>
          <w:p w14:paraId="365A750B">
            <w:pPr>
              <w:spacing w:line="240" w:lineRule="auto"/>
              <w:jc w:val="center"/>
              <w:rPr>
                <w:sz w:val="22"/>
              </w:rPr>
            </w:pPr>
            <w:r>
              <w:rPr>
                <w:rFonts w:hint="eastAsia"/>
                <w:sz w:val="22"/>
              </w:rPr>
              <w:t>简要内容</w:t>
            </w:r>
            <w:r>
              <w:t>Краткое содержание</w:t>
            </w:r>
          </w:p>
        </w:tc>
        <w:tc>
          <w:tcPr>
            <w:tcW w:w="1341" w:type="dxa"/>
            <w:tcMar>
              <w:left w:w="28" w:type="dxa"/>
              <w:right w:w="28" w:type="dxa"/>
            </w:tcMar>
            <w:vAlign w:val="center"/>
          </w:tcPr>
          <w:p w14:paraId="3F6551B5">
            <w:pPr>
              <w:spacing w:line="240" w:lineRule="auto"/>
              <w:jc w:val="center"/>
              <w:rPr>
                <w:sz w:val="22"/>
              </w:rPr>
            </w:pPr>
            <w:r>
              <w:rPr>
                <w:rFonts w:hint="eastAsia"/>
                <w:sz w:val="22"/>
              </w:rPr>
              <w:t>条目</w:t>
            </w:r>
            <w:r>
              <w:t>Пункт</w:t>
            </w:r>
          </w:p>
        </w:tc>
        <w:tc>
          <w:tcPr>
            <w:tcW w:w="2531" w:type="dxa"/>
            <w:tcMar>
              <w:left w:w="28" w:type="dxa"/>
              <w:right w:w="28" w:type="dxa"/>
            </w:tcMar>
            <w:vAlign w:val="center"/>
          </w:tcPr>
          <w:p w14:paraId="24E98D87">
            <w:pPr>
              <w:spacing w:line="240" w:lineRule="auto"/>
              <w:jc w:val="center"/>
              <w:rPr>
                <w:sz w:val="22"/>
              </w:rPr>
            </w:pPr>
            <w:r>
              <w:rPr>
                <w:rFonts w:hint="eastAsia"/>
                <w:sz w:val="22"/>
              </w:rPr>
              <w:t>简要内容</w:t>
            </w:r>
            <w:r>
              <w:t>Краткое содержание</w:t>
            </w:r>
          </w:p>
        </w:tc>
      </w:tr>
      <w:tr w14:paraId="58FB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14:paraId="1EECD89B">
            <w:pPr>
              <w:spacing w:line="240" w:lineRule="auto"/>
              <w:jc w:val="center"/>
              <w:rPr>
                <w:sz w:val="22"/>
              </w:rPr>
            </w:pPr>
          </w:p>
        </w:tc>
        <w:tc>
          <w:tcPr>
            <w:tcW w:w="1340" w:type="dxa"/>
            <w:tcMar>
              <w:left w:w="28" w:type="dxa"/>
              <w:right w:w="28" w:type="dxa"/>
            </w:tcMar>
            <w:vAlign w:val="center"/>
          </w:tcPr>
          <w:p w14:paraId="050168B9">
            <w:pPr>
              <w:spacing w:line="240" w:lineRule="auto"/>
              <w:jc w:val="center"/>
              <w:rPr>
                <w:sz w:val="22"/>
              </w:rPr>
            </w:pPr>
          </w:p>
        </w:tc>
        <w:tc>
          <w:tcPr>
            <w:tcW w:w="2531" w:type="dxa"/>
            <w:tcMar>
              <w:left w:w="28" w:type="dxa"/>
              <w:right w:w="28" w:type="dxa"/>
            </w:tcMar>
            <w:vAlign w:val="center"/>
          </w:tcPr>
          <w:p w14:paraId="4B1F1B20">
            <w:pPr>
              <w:spacing w:line="240" w:lineRule="auto"/>
              <w:jc w:val="center"/>
              <w:rPr>
                <w:sz w:val="22"/>
              </w:rPr>
            </w:pPr>
          </w:p>
        </w:tc>
        <w:tc>
          <w:tcPr>
            <w:tcW w:w="1341" w:type="dxa"/>
            <w:tcMar>
              <w:left w:w="28" w:type="dxa"/>
              <w:right w:w="28" w:type="dxa"/>
            </w:tcMar>
            <w:vAlign w:val="center"/>
          </w:tcPr>
          <w:p w14:paraId="00AFE67F">
            <w:pPr>
              <w:spacing w:line="240" w:lineRule="auto"/>
              <w:jc w:val="center"/>
              <w:rPr>
                <w:sz w:val="22"/>
              </w:rPr>
            </w:pPr>
          </w:p>
        </w:tc>
        <w:tc>
          <w:tcPr>
            <w:tcW w:w="2531" w:type="dxa"/>
            <w:tcMar>
              <w:left w:w="28" w:type="dxa"/>
              <w:right w:w="28" w:type="dxa"/>
            </w:tcMar>
            <w:vAlign w:val="center"/>
          </w:tcPr>
          <w:p w14:paraId="33FA76BE">
            <w:pPr>
              <w:spacing w:line="240" w:lineRule="auto"/>
              <w:jc w:val="center"/>
              <w:rPr>
                <w:sz w:val="22"/>
              </w:rPr>
            </w:pPr>
          </w:p>
        </w:tc>
      </w:tr>
      <w:tr w14:paraId="1C56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14:paraId="7A065625">
            <w:pPr>
              <w:spacing w:line="240" w:lineRule="auto"/>
              <w:jc w:val="center"/>
              <w:rPr>
                <w:sz w:val="22"/>
              </w:rPr>
            </w:pPr>
          </w:p>
        </w:tc>
        <w:tc>
          <w:tcPr>
            <w:tcW w:w="1340" w:type="dxa"/>
            <w:tcMar>
              <w:left w:w="28" w:type="dxa"/>
              <w:right w:w="28" w:type="dxa"/>
            </w:tcMar>
            <w:vAlign w:val="center"/>
          </w:tcPr>
          <w:p w14:paraId="5C90C723">
            <w:pPr>
              <w:spacing w:line="240" w:lineRule="auto"/>
              <w:jc w:val="center"/>
              <w:rPr>
                <w:sz w:val="22"/>
              </w:rPr>
            </w:pPr>
          </w:p>
        </w:tc>
        <w:tc>
          <w:tcPr>
            <w:tcW w:w="2531" w:type="dxa"/>
            <w:tcMar>
              <w:left w:w="28" w:type="dxa"/>
              <w:right w:w="28" w:type="dxa"/>
            </w:tcMar>
            <w:vAlign w:val="center"/>
          </w:tcPr>
          <w:p w14:paraId="004D11F2">
            <w:pPr>
              <w:spacing w:line="240" w:lineRule="auto"/>
              <w:jc w:val="center"/>
              <w:rPr>
                <w:sz w:val="22"/>
              </w:rPr>
            </w:pPr>
          </w:p>
        </w:tc>
        <w:tc>
          <w:tcPr>
            <w:tcW w:w="1341" w:type="dxa"/>
            <w:tcMar>
              <w:left w:w="28" w:type="dxa"/>
              <w:right w:w="28" w:type="dxa"/>
            </w:tcMar>
            <w:vAlign w:val="center"/>
          </w:tcPr>
          <w:p w14:paraId="6EDD77B3">
            <w:pPr>
              <w:spacing w:line="240" w:lineRule="auto"/>
              <w:jc w:val="center"/>
              <w:rPr>
                <w:sz w:val="22"/>
              </w:rPr>
            </w:pPr>
          </w:p>
        </w:tc>
        <w:tc>
          <w:tcPr>
            <w:tcW w:w="2531" w:type="dxa"/>
            <w:tcMar>
              <w:left w:w="28" w:type="dxa"/>
              <w:right w:w="28" w:type="dxa"/>
            </w:tcMar>
            <w:vAlign w:val="center"/>
          </w:tcPr>
          <w:p w14:paraId="77036EBD">
            <w:pPr>
              <w:spacing w:line="240" w:lineRule="auto"/>
              <w:jc w:val="center"/>
              <w:rPr>
                <w:sz w:val="22"/>
              </w:rPr>
            </w:pPr>
          </w:p>
        </w:tc>
      </w:tr>
    </w:tbl>
    <w:p w14:paraId="27A904C0">
      <w:pPr>
        <w:ind w:firstLine="480"/>
        <w:rPr>
          <w:szCs w:val="24"/>
        </w:rPr>
      </w:pPr>
    </w:p>
    <w:p w14:paraId="78DB24D6">
      <w:pPr>
        <w:pStyle w:val="19"/>
        <w:ind w:left="0" w:leftChars="0" w:firstLine="0" w:firstLineChars="0"/>
      </w:pPr>
    </w:p>
    <w:p w14:paraId="5EC837D9">
      <w:pPr>
        <w:pStyle w:val="19"/>
        <w:tabs>
          <w:tab w:val="left" w:pos="0"/>
        </w:tabs>
        <w:ind w:left="0" w:leftChars="0" w:firstLine="0" w:firstLineChars="0"/>
        <w:jc w:val="right"/>
        <w:rPr>
          <w:szCs w:val="24"/>
        </w:rPr>
      </w:pPr>
      <w:r>
        <w:rPr>
          <w:szCs w:val="24"/>
        </w:rPr>
        <w:t>供应商(公章)：</w:t>
      </w:r>
      <w:r>
        <w:rPr>
          <w:rFonts w:hint="default" w:ascii="Times New Roman" w:hAnsi="Times New Roman" w:cs="Times New Roman"/>
          <w:sz w:val="24"/>
          <w:szCs w:val="24"/>
        </w:rPr>
        <w:t>Поставщик: (печать подразделения)</w:t>
      </w:r>
    </w:p>
    <w:p w14:paraId="6D1D373B">
      <w:pPr>
        <w:ind w:firstLine="4092" w:firstLineChars="1949"/>
        <w:jc w:val="right"/>
        <w:rPr>
          <w:szCs w:val="24"/>
        </w:rPr>
      </w:pPr>
    </w:p>
    <w:p w14:paraId="2936BA89">
      <w:pPr>
        <w:jc w:val="right"/>
        <w:rPr>
          <w:szCs w:val="24"/>
        </w:rPr>
      </w:pPr>
      <w:r>
        <w:rPr>
          <w:rFonts w:hint="eastAsia"/>
          <w:szCs w:val="24"/>
        </w:rPr>
        <w:t>法定代表人或其委托代理人签字：</w:t>
      </w:r>
      <w:r>
        <w:rPr>
          <w:rFonts w:hint="default" w:ascii="Times New Roman" w:hAnsi="Times New Roman" w:cs="Times New Roman"/>
          <w:sz w:val="24"/>
          <w:szCs w:val="24"/>
        </w:rPr>
        <w:t>Законный представитель: (подпись)</w:t>
      </w:r>
    </w:p>
    <w:p w14:paraId="6CC5FD58">
      <w:pPr>
        <w:ind w:firstLine="4092" w:firstLineChars="1949"/>
        <w:jc w:val="right"/>
        <w:rPr>
          <w:szCs w:val="24"/>
          <w:u w:val="single"/>
        </w:rPr>
      </w:pPr>
    </w:p>
    <w:p w14:paraId="06DF7297">
      <w:pPr>
        <w:ind w:firstLine="4092" w:firstLineChars="1949"/>
        <w:jc w:val="right"/>
        <w:rPr>
          <w:rFonts w:hint="default"/>
          <w:szCs w:val="24"/>
          <w:u w:val="single"/>
          <w:lang w:val="ru-RU"/>
        </w:rPr>
      </w:pPr>
      <w:r>
        <w:rPr>
          <w:rFonts w:hint="eastAsia"/>
          <w:szCs w:val="24"/>
        </w:rPr>
        <w:t>日期：</w:t>
      </w:r>
      <w:r>
        <w:rPr>
          <w:szCs w:val="24"/>
          <w:u w:val="single"/>
        </w:rPr>
        <w:t xml:space="preserve">       </w:t>
      </w:r>
      <w:r>
        <w:rPr>
          <w:rFonts w:hint="eastAsia"/>
          <w:szCs w:val="24"/>
        </w:rPr>
        <w:t>年</w:t>
      </w:r>
      <w:r>
        <w:rPr>
          <w:szCs w:val="24"/>
          <w:u w:val="single"/>
        </w:rPr>
        <w:t xml:space="preserve">   </w:t>
      </w:r>
      <w:r>
        <w:rPr>
          <w:rFonts w:hint="eastAsia"/>
          <w:szCs w:val="24"/>
        </w:rPr>
        <w:t>月</w:t>
      </w:r>
      <w:r>
        <w:rPr>
          <w:rFonts w:hint="eastAsia"/>
          <w:szCs w:val="24"/>
          <w:u w:val="single"/>
        </w:rPr>
        <w:t xml:space="preserve"> </w:t>
      </w:r>
      <w:r>
        <w:rPr>
          <w:szCs w:val="24"/>
          <w:u w:val="single"/>
        </w:rPr>
        <w:t xml:space="preserve">  </w:t>
      </w:r>
      <w:r>
        <w:rPr>
          <w:rFonts w:hint="eastAsia"/>
          <w:szCs w:val="24"/>
        </w:rPr>
        <w:t>日</w:t>
      </w:r>
      <w:r>
        <w:rPr>
          <w:rFonts w:hint="default"/>
          <w:szCs w:val="24"/>
          <w:lang w:val="ru-RU"/>
        </w:rPr>
        <w:t xml:space="preserve"> Дата:</w:t>
      </w:r>
    </w:p>
    <w:p w14:paraId="5D5AFFC7">
      <w:pPr>
        <w:rPr>
          <w:rFonts w:hint="eastAsia" w:ascii="方正小标宋简体" w:hAnsi="方正小标宋简体" w:eastAsia="方正小标宋简体" w:cs="方正小标宋简体"/>
          <w:kern w:val="44"/>
          <w:sz w:val="44"/>
          <w:szCs w:val="44"/>
        </w:rPr>
      </w:pPr>
      <w:r>
        <w:rPr>
          <w:rFonts w:hint="eastAsia" w:ascii="黑体" w:hAnsi="黑体" w:eastAsia="黑体" w:cs="黑体"/>
          <w:sz w:val="24"/>
        </w:rPr>
        <w:br w:type="page"/>
      </w:r>
    </w:p>
    <w:p w14:paraId="234DC88D">
      <w:pPr>
        <w:numPr>
          <w:ilvl w:val="0"/>
          <w:numId w:val="4"/>
        </w:numPr>
        <w:spacing w:line="440" w:lineRule="exact"/>
        <w:ind w:firstLine="560" w:firstLineChars="200"/>
        <w:rPr>
          <w:rFonts w:hint="default" w:ascii="Times New Roman" w:hAnsi="Times New Roman" w:eastAsia="黑体" w:cs="Times New Roman"/>
          <w:bCs/>
          <w:sz w:val="28"/>
          <w:szCs w:val="28"/>
        </w:rPr>
      </w:pPr>
      <w:r>
        <w:rPr>
          <w:rFonts w:hint="eastAsia" w:ascii="黑体" w:hAnsi="黑体" w:eastAsia="黑体" w:cs="Microsoft JhengHei"/>
          <w:bCs/>
          <w:sz w:val="28"/>
          <w:szCs w:val="28"/>
        </w:rPr>
        <w:t xml:space="preserve">供应商信誉  </w:t>
      </w:r>
      <w:r>
        <w:rPr>
          <w:rFonts w:hint="default" w:ascii="Times New Roman" w:hAnsi="Times New Roman" w:eastAsia="黑体" w:cs="Times New Roman"/>
          <w:bCs/>
          <w:sz w:val="28"/>
          <w:szCs w:val="28"/>
        </w:rPr>
        <w:t xml:space="preserve"> Репутация поставщика              </w:t>
      </w:r>
    </w:p>
    <w:p w14:paraId="63B5A22E">
      <w:pPr>
        <w:rPr>
          <w:sz w:val="24"/>
          <w:szCs w:val="24"/>
        </w:rPr>
      </w:pPr>
    </w:p>
    <w:p w14:paraId="48ED8D10">
      <w:pPr>
        <w:pStyle w:val="19"/>
        <w:ind w:firstLine="480"/>
        <w:rPr>
          <w:rFonts w:hint="default" w:ascii="Times New Roman" w:hAnsi="Times New Roman"/>
          <w:sz w:val="24"/>
          <w:szCs w:val="24"/>
        </w:rPr>
      </w:pPr>
    </w:p>
    <w:p w14:paraId="5369865E">
      <w:pPr>
        <w:rPr>
          <w:sz w:val="24"/>
          <w:szCs w:val="24"/>
        </w:rPr>
      </w:pPr>
    </w:p>
    <w:p w14:paraId="6625B079">
      <w:pPr>
        <w:pStyle w:val="19"/>
        <w:ind w:firstLine="420"/>
      </w:pPr>
    </w:p>
    <w:p w14:paraId="733D2788">
      <w:pPr>
        <w:pStyle w:val="19"/>
        <w:ind w:left="0" w:leftChars="0" w:firstLine="0" w:firstLineChars="0"/>
        <w:jc w:val="center"/>
        <w:rPr>
          <w:rFonts w:hint="eastAsia" w:ascii="Times New Roman" w:hAnsi="Times New Roman"/>
          <w:sz w:val="48"/>
          <w:szCs w:val="48"/>
        </w:rPr>
      </w:pPr>
      <w:r>
        <w:rPr>
          <w:rFonts w:ascii="Times New Roman" w:hAnsi="Times New Roman"/>
          <w:sz w:val="48"/>
          <w:szCs w:val="48"/>
        </w:rPr>
        <w:t>承诺书</w:t>
      </w:r>
      <w:r>
        <w:rPr>
          <w:rFonts w:hint="default" w:ascii="Times New Roman" w:hAnsi="Times New Roman" w:cs="Times New Roman"/>
          <w:sz w:val="48"/>
          <w:szCs w:val="48"/>
        </w:rPr>
        <w:t>Письмо-обязательство</w:t>
      </w:r>
    </w:p>
    <w:p w14:paraId="3ED7804F">
      <w:pPr>
        <w:pStyle w:val="19"/>
        <w:ind w:left="0" w:leftChars="0" w:firstLine="0" w:firstLineChars="0"/>
        <w:jc w:val="center"/>
        <w:rPr>
          <w:rFonts w:hint="eastAsia" w:ascii="Times New Roman" w:hAnsi="Times New Roman"/>
          <w:sz w:val="48"/>
          <w:szCs w:val="48"/>
        </w:rPr>
      </w:pPr>
    </w:p>
    <w:p w14:paraId="24999F84"/>
    <w:p w14:paraId="180281E4">
      <w:pPr>
        <w:adjustRightInd w:val="0"/>
        <w:snapToGrid w:val="0"/>
        <w:spacing w:line="360" w:lineRule="auto"/>
        <w:ind w:firstLine="420" w:firstLineChars="175"/>
        <w:rPr>
          <w:rFonts w:hint="default" w:ascii="Times New Roman" w:hAnsi="Times New Roman" w:cs="Times New Roman"/>
          <w:sz w:val="24"/>
          <w:szCs w:val="24"/>
        </w:rPr>
      </w:pPr>
      <w:r>
        <w:rPr>
          <w:rFonts w:hint="eastAsia"/>
          <w:sz w:val="24"/>
          <w:szCs w:val="24"/>
        </w:rPr>
        <w:t>我司未被列入哈萨克斯坦信用黑名单、金融黑名单、司法黑名单、税务黑名单等影响本项目执行的情况。</w:t>
      </w:r>
      <w:r>
        <w:rPr>
          <w:rFonts w:hint="default" w:ascii="Times New Roman" w:hAnsi="Times New Roman" w:cs="Times New Roman"/>
          <w:sz w:val="24"/>
          <w:szCs w:val="24"/>
        </w:rPr>
        <w:t>Наша компания не была включена в кредитный черный список Казахстана, финансовый черный список, судебный черный список, налоговый черный список и другие ситуации, которые влияют на реализацию данного проекта.</w:t>
      </w:r>
    </w:p>
    <w:p w14:paraId="13016ED6">
      <w:pPr>
        <w:adjustRightInd w:val="0"/>
        <w:snapToGrid w:val="0"/>
        <w:spacing w:line="360" w:lineRule="auto"/>
        <w:ind w:firstLine="420" w:firstLineChars="175"/>
        <w:rPr>
          <w:sz w:val="24"/>
          <w:szCs w:val="24"/>
        </w:rPr>
      </w:pPr>
    </w:p>
    <w:p w14:paraId="3C82B038">
      <w:pPr>
        <w:adjustRightInd w:val="0"/>
        <w:snapToGrid w:val="0"/>
        <w:spacing w:line="360" w:lineRule="auto"/>
        <w:ind w:firstLine="420" w:firstLineChars="175"/>
        <w:rPr>
          <w:sz w:val="24"/>
          <w:szCs w:val="24"/>
        </w:rPr>
      </w:pPr>
    </w:p>
    <w:p w14:paraId="43BBC634">
      <w:pPr>
        <w:adjustRightInd w:val="0"/>
        <w:snapToGrid w:val="0"/>
        <w:spacing w:line="360" w:lineRule="auto"/>
        <w:ind w:firstLine="420" w:firstLineChars="175"/>
        <w:rPr>
          <w:sz w:val="24"/>
          <w:szCs w:val="24"/>
        </w:rPr>
      </w:pPr>
    </w:p>
    <w:p w14:paraId="7C0323AB">
      <w:pPr>
        <w:adjustRightInd w:val="0"/>
        <w:snapToGrid w:val="0"/>
        <w:spacing w:line="360" w:lineRule="auto"/>
        <w:ind w:firstLine="420" w:firstLineChars="175"/>
        <w:rPr>
          <w:sz w:val="24"/>
          <w:szCs w:val="24"/>
        </w:rPr>
      </w:pPr>
    </w:p>
    <w:p w14:paraId="40BEFB14">
      <w:pPr>
        <w:pStyle w:val="19"/>
        <w:tabs>
          <w:tab w:val="left" w:pos="0"/>
        </w:tabs>
        <w:ind w:left="0" w:leftChars="0" w:firstLine="0" w:firstLineChars="0"/>
        <w:jc w:val="right"/>
        <w:rPr>
          <w:szCs w:val="24"/>
        </w:rPr>
      </w:pPr>
      <w:r>
        <w:rPr>
          <w:szCs w:val="24"/>
        </w:rPr>
        <w:t>供应商(公章)：</w:t>
      </w:r>
      <w:r>
        <w:rPr>
          <w:rFonts w:hint="default" w:ascii="Times New Roman" w:hAnsi="Times New Roman" w:cs="Times New Roman"/>
          <w:sz w:val="24"/>
          <w:szCs w:val="24"/>
        </w:rPr>
        <w:t>Поставщик: (печать подразделения)</w:t>
      </w:r>
    </w:p>
    <w:p w14:paraId="15DC349A">
      <w:pPr>
        <w:ind w:firstLine="4092" w:firstLineChars="1949"/>
        <w:jc w:val="right"/>
        <w:rPr>
          <w:szCs w:val="24"/>
        </w:rPr>
      </w:pPr>
    </w:p>
    <w:p w14:paraId="1384530E">
      <w:pPr>
        <w:jc w:val="right"/>
        <w:rPr>
          <w:szCs w:val="24"/>
        </w:rPr>
      </w:pPr>
      <w:r>
        <w:rPr>
          <w:rFonts w:hint="eastAsia"/>
          <w:szCs w:val="24"/>
        </w:rPr>
        <w:t>法定代表人或其委托代理人签字：</w:t>
      </w:r>
      <w:r>
        <w:rPr>
          <w:rFonts w:hint="default" w:ascii="Times New Roman" w:hAnsi="Times New Roman" w:cs="Times New Roman"/>
          <w:sz w:val="24"/>
          <w:szCs w:val="24"/>
        </w:rPr>
        <w:t>Законный представитель: (подпись)</w:t>
      </w:r>
    </w:p>
    <w:p w14:paraId="082D9601">
      <w:pPr>
        <w:ind w:firstLine="4092" w:firstLineChars="1949"/>
        <w:jc w:val="right"/>
        <w:rPr>
          <w:szCs w:val="24"/>
          <w:u w:val="single"/>
        </w:rPr>
      </w:pPr>
    </w:p>
    <w:p w14:paraId="62EA71D3">
      <w:pPr>
        <w:ind w:firstLine="4092" w:firstLineChars="1949"/>
        <w:jc w:val="right"/>
        <w:rPr>
          <w:rFonts w:hint="default"/>
          <w:szCs w:val="24"/>
          <w:u w:val="single"/>
          <w:lang w:val="ru-RU"/>
        </w:rPr>
      </w:pPr>
      <w:r>
        <w:rPr>
          <w:rFonts w:hint="eastAsia"/>
          <w:szCs w:val="24"/>
        </w:rPr>
        <w:t>日期：</w:t>
      </w:r>
      <w:r>
        <w:rPr>
          <w:szCs w:val="24"/>
          <w:u w:val="single"/>
        </w:rPr>
        <w:t xml:space="preserve">       </w:t>
      </w:r>
      <w:r>
        <w:rPr>
          <w:rFonts w:hint="eastAsia"/>
          <w:szCs w:val="24"/>
        </w:rPr>
        <w:t>年</w:t>
      </w:r>
      <w:r>
        <w:rPr>
          <w:szCs w:val="24"/>
          <w:u w:val="single"/>
        </w:rPr>
        <w:t xml:space="preserve">   </w:t>
      </w:r>
      <w:r>
        <w:rPr>
          <w:rFonts w:hint="eastAsia"/>
          <w:szCs w:val="24"/>
        </w:rPr>
        <w:t>月</w:t>
      </w:r>
      <w:r>
        <w:rPr>
          <w:rFonts w:hint="eastAsia"/>
          <w:szCs w:val="24"/>
          <w:u w:val="single"/>
        </w:rPr>
        <w:t xml:space="preserve"> </w:t>
      </w:r>
      <w:r>
        <w:rPr>
          <w:szCs w:val="24"/>
          <w:u w:val="single"/>
        </w:rPr>
        <w:t xml:space="preserve">  </w:t>
      </w:r>
      <w:r>
        <w:rPr>
          <w:rFonts w:hint="eastAsia"/>
          <w:szCs w:val="24"/>
        </w:rPr>
        <w:t>日</w:t>
      </w:r>
      <w:r>
        <w:rPr>
          <w:rFonts w:hint="default"/>
          <w:szCs w:val="24"/>
          <w:lang w:val="ru-RU"/>
        </w:rPr>
        <w:t xml:space="preserve"> Дата:</w:t>
      </w:r>
    </w:p>
    <w:p w14:paraId="3ACEE57C">
      <w:pPr>
        <w:rPr>
          <w:rFonts w:hint="eastAsia" w:ascii="黑体" w:hAnsi="黑体" w:eastAsia="黑体" w:cs="Microsoft JhengHei"/>
          <w:bCs/>
          <w:sz w:val="28"/>
          <w:szCs w:val="28"/>
        </w:rPr>
      </w:pPr>
      <w:r>
        <w:rPr>
          <w:rFonts w:hint="eastAsia" w:ascii="黑体" w:hAnsi="黑体" w:eastAsia="黑体" w:cs="Microsoft JhengHei"/>
          <w:bCs/>
          <w:sz w:val="28"/>
          <w:szCs w:val="28"/>
        </w:rPr>
        <w:br w:type="page"/>
      </w:r>
    </w:p>
    <w:p w14:paraId="3F133185">
      <w:pPr>
        <w:numPr>
          <w:ilvl w:val="0"/>
          <w:numId w:val="4"/>
        </w:numPr>
        <w:spacing w:line="440" w:lineRule="exact"/>
        <w:ind w:firstLine="560" w:firstLineChars="200"/>
        <w:rPr>
          <w:rFonts w:hint="default" w:ascii="Times New Roman" w:hAnsi="Times New Roman" w:eastAsia="黑体" w:cs="Times New Roman"/>
          <w:bCs/>
          <w:sz w:val="28"/>
          <w:szCs w:val="28"/>
        </w:rPr>
      </w:pPr>
      <w:r>
        <w:rPr>
          <w:rFonts w:hint="eastAsia" w:ascii="黑体" w:hAnsi="黑体" w:eastAsia="黑体" w:cs="Microsoft JhengHei"/>
          <w:bCs/>
          <w:sz w:val="28"/>
          <w:szCs w:val="28"/>
        </w:rPr>
        <w:t>供应商业绩</w:t>
      </w:r>
      <w:r>
        <w:rPr>
          <w:rFonts w:hint="default" w:ascii="Times New Roman" w:hAnsi="Times New Roman" w:eastAsia="黑体" w:cs="Times New Roman"/>
          <w:bCs/>
          <w:sz w:val="28"/>
          <w:szCs w:val="28"/>
        </w:rPr>
        <w:t>IV. Эффективность работы поставщиков</w:t>
      </w:r>
    </w:p>
    <w:p w14:paraId="1D689F28">
      <w:pPr>
        <w:pStyle w:val="19"/>
        <w:ind w:firstLine="560"/>
        <w:rPr>
          <w:rFonts w:ascii="黑体" w:hAnsi="黑体" w:eastAsia="黑体" w:cs="Microsoft JhengHei"/>
          <w:bCs/>
          <w:sz w:val="28"/>
          <w:szCs w:val="28"/>
        </w:rPr>
      </w:pPr>
    </w:p>
    <w:p w14:paraId="5A98CDAA">
      <w:pPr>
        <w:rPr>
          <w:rFonts w:hint="eastAsia" w:ascii="黑体" w:hAnsi="黑体" w:eastAsia="黑体" w:cs="Microsoft JhengHei"/>
          <w:bCs/>
          <w:sz w:val="28"/>
          <w:szCs w:val="28"/>
        </w:rPr>
      </w:pPr>
    </w:p>
    <w:p w14:paraId="7CDB168E">
      <w:pPr>
        <w:pStyle w:val="19"/>
        <w:ind w:firstLine="560"/>
        <w:rPr>
          <w:rFonts w:ascii="黑体" w:hAnsi="黑体" w:eastAsia="黑体" w:cs="Microsoft JhengHei"/>
          <w:bCs/>
          <w:sz w:val="28"/>
          <w:szCs w:val="28"/>
        </w:rPr>
      </w:pPr>
    </w:p>
    <w:p w14:paraId="7AD8297C">
      <w:pPr>
        <w:rPr>
          <w:rFonts w:hint="default" w:ascii="Times New Roman" w:hAnsi="Times New Roman" w:cs="Times New Roman"/>
        </w:rPr>
      </w:pPr>
      <w:r>
        <w:rPr>
          <w:rFonts w:hint="eastAsia" w:ascii="黑体" w:hAnsi="黑体" w:eastAsia="黑体" w:cs="Microsoft JhengHei"/>
          <w:bCs/>
          <w:sz w:val="28"/>
          <w:szCs w:val="28"/>
        </w:rPr>
        <w:t>（供应商业绩，提供合同封皮、合同盖章页、合同范围内等）</w:t>
      </w:r>
      <w:r>
        <w:rPr>
          <w:rFonts w:hint="default" w:ascii="Times New Roman" w:hAnsi="Times New Roman" w:eastAsia="黑体" w:cs="Times New Roman"/>
          <w:bCs/>
          <w:sz w:val="28"/>
          <w:szCs w:val="28"/>
        </w:rPr>
        <w:t>(Работа поставщика, предоставить титульный лист контракта, страницу с печатью контракта, объем контракта и т.д.)</w:t>
      </w:r>
    </w:p>
    <w:p w14:paraId="36909EC6">
      <w:pPr>
        <w:pStyle w:val="19"/>
        <w:ind w:firstLine="560"/>
        <w:rPr>
          <w:rFonts w:ascii="黑体" w:hAnsi="黑体" w:eastAsia="黑体" w:cs="Microsoft JhengHei"/>
          <w:bCs/>
          <w:sz w:val="28"/>
          <w:szCs w:val="28"/>
        </w:rPr>
      </w:pPr>
    </w:p>
    <w:p w14:paraId="0874EE41"/>
    <w:p w14:paraId="2037D1C8">
      <w:pPr>
        <w:pStyle w:val="19"/>
        <w:ind w:firstLine="420"/>
      </w:pPr>
    </w:p>
    <w:p w14:paraId="2E080C6D">
      <w:pPr>
        <w:adjustRightInd w:val="0"/>
        <w:snapToGrid w:val="0"/>
        <w:spacing w:line="360" w:lineRule="auto"/>
        <w:ind w:firstLine="420" w:firstLineChars="175"/>
        <w:rPr>
          <w:sz w:val="24"/>
          <w:szCs w:val="24"/>
        </w:rPr>
      </w:pPr>
    </w:p>
    <w:p w14:paraId="57DEA3C0">
      <w:pPr>
        <w:pStyle w:val="19"/>
        <w:tabs>
          <w:tab w:val="left" w:pos="0"/>
        </w:tabs>
        <w:ind w:left="0" w:leftChars="0" w:firstLine="0" w:firstLineChars="0"/>
        <w:jc w:val="right"/>
        <w:rPr>
          <w:szCs w:val="24"/>
        </w:rPr>
      </w:pPr>
      <w:r>
        <w:rPr>
          <w:szCs w:val="24"/>
        </w:rPr>
        <w:t>供应商(公章)：</w:t>
      </w:r>
      <w:r>
        <w:rPr>
          <w:rFonts w:hint="default" w:ascii="Times New Roman" w:hAnsi="Times New Roman" w:cs="Times New Roman"/>
          <w:sz w:val="24"/>
          <w:szCs w:val="24"/>
        </w:rPr>
        <w:t>Поставщик: (печать подразделения)</w:t>
      </w:r>
    </w:p>
    <w:p w14:paraId="167E9786">
      <w:pPr>
        <w:ind w:firstLine="4092" w:firstLineChars="1949"/>
        <w:jc w:val="right"/>
        <w:rPr>
          <w:szCs w:val="24"/>
        </w:rPr>
      </w:pPr>
    </w:p>
    <w:p w14:paraId="1DF915E4">
      <w:pPr>
        <w:jc w:val="right"/>
        <w:rPr>
          <w:szCs w:val="24"/>
        </w:rPr>
      </w:pPr>
      <w:r>
        <w:rPr>
          <w:rFonts w:hint="eastAsia"/>
          <w:szCs w:val="24"/>
        </w:rPr>
        <w:t>法定代表人或其委托代理人签字：</w:t>
      </w:r>
      <w:r>
        <w:rPr>
          <w:rFonts w:hint="default" w:ascii="Times New Roman" w:hAnsi="Times New Roman" w:cs="Times New Roman"/>
          <w:sz w:val="24"/>
          <w:szCs w:val="24"/>
        </w:rPr>
        <w:t>Законный представитель: (подпись)</w:t>
      </w:r>
    </w:p>
    <w:p w14:paraId="66CF5BB3">
      <w:pPr>
        <w:ind w:firstLine="4092" w:firstLineChars="1949"/>
        <w:jc w:val="right"/>
        <w:rPr>
          <w:szCs w:val="24"/>
          <w:u w:val="single"/>
        </w:rPr>
      </w:pPr>
    </w:p>
    <w:p w14:paraId="7D040C57">
      <w:pPr>
        <w:ind w:firstLine="4092" w:firstLineChars="1949"/>
        <w:jc w:val="right"/>
        <w:rPr>
          <w:rFonts w:hint="default"/>
          <w:szCs w:val="24"/>
          <w:u w:val="single"/>
          <w:lang w:val="ru-RU"/>
        </w:rPr>
      </w:pPr>
      <w:r>
        <w:rPr>
          <w:rFonts w:hint="eastAsia"/>
          <w:szCs w:val="24"/>
        </w:rPr>
        <w:t>日期：</w:t>
      </w:r>
      <w:r>
        <w:rPr>
          <w:szCs w:val="24"/>
          <w:u w:val="single"/>
        </w:rPr>
        <w:t xml:space="preserve">       </w:t>
      </w:r>
      <w:r>
        <w:rPr>
          <w:rFonts w:hint="eastAsia"/>
          <w:szCs w:val="24"/>
        </w:rPr>
        <w:t>年</w:t>
      </w:r>
      <w:r>
        <w:rPr>
          <w:szCs w:val="24"/>
          <w:u w:val="single"/>
        </w:rPr>
        <w:t xml:space="preserve">   </w:t>
      </w:r>
      <w:r>
        <w:rPr>
          <w:rFonts w:hint="eastAsia"/>
          <w:szCs w:val="24"/>
        </w:rPr>
        <w:t>月</w:t>
      </w:r>
      <w:r>
        <w:rPr>
          <w:rFonts w:hint="eastAsia"/>
          <w:szCs w:val="24"/>
          <w:u w:val="single"/>
        </w:rPr>
        <w:t xml:space="preserve"> </w:t>
      </w:r>
      <w:r>
        <w:rPr>
          <w:szCs w:val="24"/>
          <w:u w:val="single"/>
        </w:rPr>
        <w:t xml:space="preserve">  </w:t>
      </w:r>
      <w:r>
        <w:rPr>
          <w:rFonts w:hint="eastAsia"/>
          <w:szCs w:val="24"/>
        </w:rPr>
        <w:t>日</w:t>
      </w:r>
      <w:r>
        <w:rPr>
          <w:rFonts w:hint="default"/>
          <w:szCs w:val="24"/>
          <w:lang w:val="ru-RU"/>
        </w:rPr>
        <w:t xml:space="preserve"> Дата:</w:t>
      </w:r>
    </w:p>
    <w:p w14:paraId="253F6741"/>
    <w:p w14:paraId="575ECC84">
      <w:r>
        <w:rPr>
          <w:rFonts w:hint="eastAsia"/>
        </w:rPr>
        <w:br w:type="page"/>
      </w:r>
    </w:p>
    <w:p w14:paraId="0097567F">
      <w:pPr>
        <w:numPr>
          <w:ilvl w:val="0"/>
          <w:numId w:val="4"/>
        </w:numPr>
        <w:spacing w:line="440" w:lineRule="exact"/>
        <w:ind w:firstLine="560" w:firstLineChars="200"/>
        <w:rPr>
          <w:rFonts w:hint="eastAsia" w:ascii="黑体" w:hAnsi="黑体" w:eastAsia="黑体" w:cs="Microsoft JhengHei"/>
          <w:bCs/>
          <w:sz w:val="28"/>
          <w:szCs w:val="28"/>
          <w:highlight w:val="yellow"/>
        </w:rPr>
      </w:pPr>
      <w:r>
        <w:rPr>
          <w:rFonts w:hint="eastAsia" w:ascii="黑体" w:hAnsi="黑体" w:eastAsia="黑体" w:cs="Microsoft JhengHei"/>
          <w:bCs/>
          <w:sz w:val="28"/>
          <w:szCs w:val="28"/>
          <w:highlight w:val="yellow"/>
        </w:rPr>
        <w:t>响应报价</w:t>
      </w:r>
      <w:r>
        <w:rPr>
          <w:highlight w:val="yellow"/>
        </w:rPr>
        <w:t>Отклик по цене</w:t>
      </w:r>
    </w:p>
    <w:p w14:paraId="538AF9A3">
      <w:pPr>
        <w:jc w:val="center"/>
        <w:rPr>
          <w:rFonts w:hint="eastAsia" w:eastAsia="宋体"/>
          <w:lang w:val="ru-RU" w:eastAsia="zh-CN"/>
        </w:rPr>
      </w:pPr>
      <w:r>
        <w:rPr>
          <w:rFonts w:hint="eastAsia"/>
          <w:sz w:val="24"/>
          <w:szCs w:val="24"/>
        </w:rPr>
        <w:t>哈萨克斯坦阿克套燃机项目</w:t>
      </w:r>
      <w:r>
        <w:rPr>
          <w:rFonts w:hint="eastAsia"/>
          <w:sz w:val="24"/>
          <w:szCs w:val="24"/>
          <w:lang w:val="en-US" w:eastAsia="zh-CN"/>
        </w:rPr>
        <w:t>会计代理</w:t>
      </w:r>
      <w:r>
        <w:rPr>
          <w:rFonts w:hint="eastAsia"/>
          <w:sz w:val="24"/>
          <w:szCs w:val="24"/>
        </w:rPr>
        <w:t>服务报价表</w:t>
      </w:r>
      <w:r>
        <w:rPr>
          <w:rFonts w:hint="default"/>
          <w:sz w:val="24"/>
          <w:szCs w:val="24"/>
          <w:lang w:val="ru-RU"/>
        </w:rPr>
        <w:t xml:space="preserve"> </w:t>
      </w:r>
      <w:r>
        <w:rPr>
          <w:rFonts w:hint="default" w:ascii="Times New Roman" w:hAnsi="Times New Roman" w:eastAsia="宋体" w:cs="Times New Roman"/>
          <w:b w:val="0"/>
          <w:lang w:val="en-US" w:eastAsia="zh-CN"/>
        </w:rPr>
        <w:t>Y</w:t>
      </w:r>
      <w:r>
        <w:rPr>
          <w:rFonts w:ascii="Times New Roman" w:hAnsi="Times New Roman" w:eastAsia="宋体" w:cs="Times New Roman"/>
          <w:b w:val="0"/>
          <w:sz w:val="21"/>
          <w:szCs w:val="20"/>
          <w:lang w:val="ru-RU"/>
        </w:rPr>
        <w:t>слуг по ведению бухгалтерского учета</w:t>
      </w:r>
      <w:r>
        <w:rPr>
          <w:rFonts w:hint="default"/>
          <w:sz w:val="24"/>
          <w:szCs w:val="24"/>
          <w:lang w:val="ru-RU"/>
        </w:rPr>
        <w:t xml:space="preserve"> строительства газотурбинной установки в Актау, Казахстан </w:t>
      </w:r>
    </w:p>
    <w:p w14:paraId="427D198A">
      <w:pPr>
        <w:wordWrap w:val="0"/>
        <w:ind w:left="7560" w:hanging="7560" w:hangingChars="3600"/>
        <w:jc w:val="right"/>
        <w:rPr>
          <w:rFonts w:hint="default" w:ascii="Times New Roman" w:hAnsi="Times New Roman" w:eastAsia="宋体" w:cs="Times New Roman"/>
          <w:kern w:val="0"/>
          <w:sz w:val="24"/>
          <w:szCs w:val="24"/>
          <w:lang w:val="en-US" w:eastAsia="zh-CN"/>
        </w:rPr>
      </w:pPr>
      <w:r>
        <w:rPr>
          <w:rFonts w:hint="eastAsia"/>
        </w:rPr>
        <w:t xml:space="preserve">                            单位：坚戈</w:t>
      </w:r>
      <w:r>
        <w:rPr>
          <w:rFonts w:hint="eastAsia"/>
          <w:lang w:val="en-US" w:eastAsia="zh-CN"/>
        </w:rPr>
        <w:t xml:space="preserve"> </w:t>
      </w:r>
      <w:r>
        <w:rPr>
          <w:rFonts w:hint="default" w:ascii="Times New Roman" w:hAnsi="Times New Roman" w:cs="Times New Roman"/>
          <w:lang w:val="en-US" w:eastAsia="zh-CN"/>
        </w:rPr>
        <w:t xml:space="preserve"> Единица</w:t>
      </w:r>
      <w:r>
        <w:rPr>
          <w:rFonts w:hint="eastAsia" w:cs="Times New Roman"/>
          <w:lang w:val="en-US" w:eastAsia="zh-CN"/>
        </w:rPr>
        <w:t>：</w:t>
      </w:r>
      <w:r>
        <w:rPr>
          <w:rFonts w:hint="default" w:ascii="Times New Roman" w:hAnsi="Times New Roman" w:cs="Times New Roman"/>
          <w:lang w:val="en-US" w:eastAsia="zh-CN"/>
        </w:rPr>
        <w:t xml:space="preserve"> </w:t>
      </w:r>
      <w:r>
        <w:rPr>
          <w:rFonts w:hint="default" w:ascii="Times New Roman" w:hAnsi="Times New Roman" w:cs="Times New Roman"/>
          <w:highlight w:val="yellow"/>
          <w:lang w:val="ru-RU"/>
        </w:rPr>
        <w:t>тенге</w:t>
      </w:r>
      <w:r>
        <w:rPr>
          <w:rFonts w:hint="default" w:ascii="Times New Roman" w:hAnsi="Times New Roman" w:cs="Times New Roman"/>
          <w:lang w:val="en-US" w:eastAsia="zh-CN"/>
        </w:rPr>
        <w:t xml:space="preserve"> </w:t>
      </w:r>
    </w:p>
    <w:tbl>
      <w:tblPr>
        <w:tblStyle w:val="21"/>
        <w:tblW w:w="9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27"/>
        <w:gridCol w:w="946"/>
        <w:gridCol w:w="800"/>
        <w:gridCol w:w="1236"/>
        <w:gridCol w:w="1664"/>
        <w:gridCol w:w="1450"/>
        <w:gridCol w:w="944"/>
        <w:gridCol w:w="10"/>
      </w:tblGrid>
      <w:tr w14:paraId="14C1E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1668" w:hRule="atLeast"/>
        </w:trPr>
        <w:tc>
          <w:tcPr>
            <w:tcW w:w="681" w:type="dxa"/>
            <w:vAlign w:val="center"/>
          </w:tcPr>
          <w:p w14:paraId="14D2A0AA">
            <w:pPr>
              <w:adjustRightInd w:val="0"/>
              <w:snapToGrid w:val="0"/>
              <w:spacing w:line="240" w:lineRule="auto"/>
              <w:jc w:val="center"/>
              <w:rPr>
                <w:rFonts w:hint="default" w:ascii="Times New Roman" w:hAnsi="Times New Roman" w:cs="Times New Roman"/>
                <w:highlight w:val="none"/>
                <w:lang w:val="ru-RU"/>
              </w:rPr>
            </w:pPr>
            <w:r>
              <w:rPr>
                <w:rFonts w:hint="default" w:ascii="Times New Roman" w:hAnsi="Times New Roman" w:cs="Times New Roman"/>
                <w:highlight w:val="none"/>
              </w:rPr>
              <w:t>序号</w:t>
            </w:r>
            <w:r>
              <w:rPr>
                <w:rFonts w:hint="default" w:ascii="Times New Roman" w:hAnsi="Times New Roman" w:cs="Times New Roman"/>
                <w:highlight w:val="none"/>
                <w:lang w:val="ru-RU"/>
              </w:rPr>
              <w:t>№</w:t>
            </w:r>
          </w:p>
        </w:tc>
        <w:tc>
          <w:tcPr>
            <w:tcW w:w="1527" w:type="dxa"/>
            <w:vAlign w:val="center"/>
          </w:tcPr>
          <w:p w14:paraId="6F7D7EBD">
            <w:pPr>
              <w:adjustRightInd w:val="0"/>
              <w:snapToGrid w:val="0"/>
              <w:spacing w:line="240" w:lineRule="auto"/>
              <w:jc w:val="center"/>
              <w:rPr>
                <w:rFonts w:hint="default" w:ascii="Times New Roman" w:hAnsi="Times New Roman" w:cs="Times New Roman"/>
                <w:highlight w:val="none"/>
                <w:lang w:val="ru-RU"/>
              </w:rPr>
            </w:pPr>
            <w:r>
              <w:rPr>
                <w:rFonts w:hint="default" w:ascii="Times New Roman" w:hAnsi="Times New Roman" w:cs="Times New Roman"/>
                <w:highlight w:val="none"/>
              </w:rPr>
              <w:t>名称</w:t>
            </w:r>
            <w:r>
              <w:rPr>
                <w:rFonts w:hint="default" w:ascii="Times New Roman" w:hAnsi="Times New Roman" w:cs="Times New Roman"/>
                <w:highlight w:val="none"/>
                <w:lang w:val="ru-RU"/>
              </w:rPr>
              <w:t>наименование</w:t>
            </w:r>
          </w:p>
        </w:tc>
        <w:tc>
          <w:tcPr>
            <w:tcW w:w="946" w:type="dxa"/>
            <w:vAlign w:val="center"/>
          </w:tcPr>
          <w:p w14:paraId="23F45298">
            <w:pPr>
              <w:adjustRightInd w:val="0"/>
              <w:snapToGrid w:val="0"/>
              <w:spacing w:line="240" w:lineRule="auto"/>
              <w:jc w:val="center"/>
              <w:rPr>
                <w:rFonts w:hint="default" w:ascii="Times New Roman" w:hAnsi="Times New Roman" w:cs="Times New Roman"/>
                <w:highlight w:val="none"/>
                <w:lang w:val="ru-RU"/>
              </w:rPr>
            </w:pPr>
            <w:r>
              <w:rPr>
                <w:rFonts w:hint="default" w:ascii="Times New Roman" w:hAnsi="Times New Roman" w:cs="Times New Roman"/>
                <w:highlight w:val="none"/>
              </w:rPr>
              <w:t>单位</w:t>
            </w:r>
            <w:r>
              <w:rPr>
                <w:rFonts w:hint="default" w:ascii="Times New Roman" w:hAnsi="Times New Roman" w:cs="Times New Roman"/>
                <w:highlight w:val="none"/>
                <w:lang w:val="ru-RU"/>
              </w:rPr>
              <w:t>е.з.</w:t>
            </w:r>
          </w:p>
        </w:tc>
        <w:tc>
          <w:tcPr>
            <w:tcW w:w="800" w:type="dxa"/>
            <w:vAlign w:val="center"/>
          </w:tcPr>
          <w:p w14:paraId="0DC49307">
            <w:pPr>
              <w:adjustRightInd w:val="0"/>
              <w:snapToGrid w:val="0"/>
              <w:spacing w:line="240" w:lineRule="auto"/>
              <w:jc w:val="center"/>
              <w:rPr>
                <w:rFonts w:hint="default" w:ascii="Times New Roman" w:hAnsi="Times New Roman" w:cs="Times New Roman"/>
                <w:highlight w:val="none"/>
                <w:lang w:val="ru-RU"/>
              </w:rPr>
            </w:pPr>
            <w:r>
              <w:rPr>
                <w:rFonts w:hint="default" w:ascii="Times New Roman" w:hAnsi="Times New Roman" w:cs="Times New Roman"/>
                <w:highlight w:val="none"/>
              </w:rPr>
              <w:t>数量</w:t>
            </w:r>
            <w:r>
              <w:rPr>
                <w:rFonts w:hint="default" w:ascii="Times New Roman" w:hAnsi="Times New Roman" w:cs="Times New Roman"/>
                <w:highlight w:val="none"/>
                <w:lang w:val="ru-RU"/>
              </w:rPr>
              <w:t>кол.</w:t>
            </w:r>
          </w:p>
        </w:tc>
        <w:tc>
          <w:tcPr>
            <w:tcW w:w="1236" w:type="dxa"/>
            <w:vAlign w:val="center"/>
          </w:tcPr>
          <w:p w14:paraId="34F951A3">
            <w:pPr>
              <w:adjustRightInd w:val="0"/>
              <w:snapToGrid w:val="0"/>
              <w:spacing w:after="0" w:line="240" w:lineRule="auto"/>
              <w:jc w:val="center"/>
              <w:rPr>
                <w:rFonts w:hint="default" w:ascii="Times New Roman" w:hAnsi="Times New Roman" w:eastAsia="宋体" w:cs="Times New Roman"/>
                <w:highlight w:val="none"/>
                <w:lang w:val="ru-RU" w:eastAsia="zh-CN"/>
              </w:rPr>
            </w:pPr>
            <w:r>
              <w:rPr>
                <w:rFonts w:hint="eastAsia" w:cs="Times New Roman"/>
                <w:highlight w:val="none"/>
                <w:lang w:val="en-US" w:eastAsia="zh-CN"/>
              </w:rPr>
              <w:t>单价</w:t>
            </w:r>
            <w:r>
              <w:rPr>
                <w:rFonts w:hint="default" w:ascii="Times New Roman" w:hAnsi="Times New Roman" w:cs="Times New Roman"/>
                <w:highlight w:val="none"/>
              </w:rPr>
              <w:t>（坚戈/月）</w:t>
            </w:r>
            <w:r>
              <w:rPr>
                <w:rFonts w:hint="default" w:ascii="Times New Roman" w:hAnsi="Times New Roman" w:cs="Times New Roman"/>
                <w:highlight w:val="none"/>
                <w:lang w:val="ru-RU"/>
              </w:rPr>
              <w:t>зарплата(тенге</w:t>
            </w:r>
            <w:r>
              <w:rPr>
                <w:rFonts w:hint="default" w:ascii="Times New Roman" w:hAnsi="Times New Roman" w:cs="Times New Roman"/>
                <w:highlight w:val="none"/>
                <w:lang w:val="en-US" w:eastAsia="zh-CN"/>
              </w:rPr>
              <w:t>/</w:t>
            </w:r>
            <w:r>
              <w:rPr>
                <w:rFonts w:hint="default" w:ascii="Times New Roman" w:hAnsi="Times New Roman" w:cs="Times New Roman"/>
                <w:highlight w:val="none"/>
                <w:lang w:val="ru-RU" w:eastAsia="zh-CN"/>
              </w:rPr>
              <w:t>месяц)</w:t>
            </w:r>
          </w:p>
        </w:tc>
        <w:tc>
          <w:tcPr>
            <w:tcW w:w="1664" w:type="dxa"/>
            <w:vAlign w:val="center"/>
          </w:tcPr>
          <w:p w14:paraId="4063E6EF">
            <w:pPr>
              <w:adjustRightInd w:val="0"/>
              <w:snapToGrid w:val="0"/>
              <w:spacing w:line="240" w:lineRule="auto"/>
              <w:jc w:val="center"/>
              <w:rPr>
                <w:rFonts w:hint="default" w:ascii="Times New Roman" w:hAnsi="Times New Roman" w:cs="Times New Roman"/>
                <w:highlight w:val="none"/>
              </w:rPr>
            </w:pPr>
            <w:r>
              <w:rPr>
                <w:rFonts w:hint="default" w:ascii="Times New Roman" w:hAnsi="Times New Roman" w:cs="Times New Roman"/>
                <w:highlight w:val="none"/>
              </w:rPr>
              <w:t>增值税比例（***%）Процент НДС</w:t>
            </w:r>
          </w:p>
        </w:tc>
        <w:tc>
          <w:tcPr>
            <w:tcW w:w="1450" w:type="dxa"/>
            <w:vAlign w:val="center"/>
          </w:tcPr>
          <w:p w14:paraId="0EEFA266">
            <w:pPr>
              <w:adjustRightInd w:val="0"/>
              <w:snapToGrid w:val="0"/>
              <w:spacing w:line="240" w:lineRule="auto"/>
              <w:jc w:val="center"/>
              <w:rPr>
                <w:rFonts w:hint="default" w:ascii="Times New Roman" w:hAnsi="Times New Roman" w:cs="Times New Roman"/>
                <w:highlight w:val="none"/>
                <w:lang w:val="ru-RU"/>
              </w:rPr>
            </w:pPr>
            <w:r>
              <w:rPr>
                <w:rFonts w:hint="default" w:ascii="Times New Roman" w:hAnsi="Times New Roman" w:cs="Times New Roman"/>
                <w:highlight w:val="none"/>
              </w:rPr>
              <w:t>合计</w:t>
            </w:r>
            <w:r>
              <w:rPr>
                <w:rFonts w:hint="default" w:ascii="Times New Roman" w:hAnsi="Times New Roman" w:cs="Times New Roman"/>
                <w:highlight w:val="none"/>
                <w:lang w:val="ru-RU"/>
              </w:rPr>
              <w:t>В итоге</w:t>
            </w:r>
          </w:p>
        </w:tc>
        <w:tc>
          <w:tcPr>
            <w:tcW w:w="944" w:type="dxa"/>
            <w:vAlign w:val="center"/>
          </w:tcPr>
          <w:p w14:paraId="03C66580">
            <w:pPr>
              <w:adjustRightInd w:val="0"/>
              <w:snapToGrid w:val="0"/>
              <w:spacing w:line="240" w:lineRule="auto"/>
              <w:jc w:val="center"/>
              <w:rPr>
                <w:rFonts w:hint="default" w:ascii="Times New Roman" w:hAnsi="Times New Roman" w:cs="Times New Roman"/>
                <w:highlight w:val="none"/>
                <w:lang w:val="ru-RU"/>
              </w:rPr>
            </w:pPr>
            <w:r>
              <w:rPr>
                <w:rFonts w:hint="default" w:ascii="Times New Roman" w:hAnsi="Times New Roman" w:cs="Times New Roman"/>
                <w:highlight w:val="none"/>
              </w:rPr>
              <w:t>备注</w:t>
            </w:r>
            <w:r>
              <w:rPr>
                <w:rFonts w:hint="default" w:ascii="Times New Roman" w:hAnsi="Times New Roman" w:cs="Times New Roman"/>
                <w:highlight w:val="none"/>
                <w:lang w:val="ru-RU"/>
              </w:rPr>
              <w:t>Примечание</w:t>
            </w:r>
          </w:p>
        </w:tc>
      </w:tr>
      <w:tr w14:paraId="3BCA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30" w:hRule="atLeast"/>
        </w:trPr>
        <w:tc>
          <w:tcPr>
            <w:tcW w:w="681" w:type="dxa"/>
            <w:vAlign w:val="center"/>
          </w:tcPr>
          <w:p w14:paraId="40A3B4E8">
            <w:pPr>
              <w:adjustRightInd w:val="0"/>
              <w:snapToGrid w:val="0"/>
              <w:spacing w:after="0" w:line="240" w:lineRule="auto"/>
              <w:jc w:val="center"/>
            </w:pPr>
            <w:r>
              <w:rPr>
                <w:rFonts w:hint="eastAsia"/>
              </w:rPr>
              <w:t>1</w:t>
            </w:r>
          </w:p>
        </w:tc>
        <w:tc>
          <w:tcPr>
            <w:tcW w:w="1527" w:type="dxa"/>
            <w:vAlign w:val="center"/>
          </w:tcPr>
          <w:p w14:paraId="559086E4">
            <w:pPr>
              <w:adjustRightInd w:val="0"/>
              <w:snapToGrid w:val="0"/>
              <w:spacing w:after="0" w:line="240" w:lineRule="auto"/>
              <w:jc w:val="center"/>
              <w:rPr>
                <w:rFonts w:hint="default"/>
                <w:lang w:val="ru-RU"/>
              </w:rPr>
            </w:pPr>
            <w:r>
              <w:rPr>
                <w:rFonts w:hint="eastAsia"/>
                <w:lang w:val="en-US" w:eastAsia="zh-CN"/>
              </w:rPr>
              <w:t>会计代理服务</w:t>
            </w:r>
            <w:r>
              <w:rPr>
                <w:rFonts w:hint="default" w:ascii="Times New Roman" w:hAnsi="Times New Roman" w:eastAsia="宋体" w:cs="Times New Roman"/>
                <w:b w:val="0"/>
                <w:lang w:val="en-US" w:eastAsia="zh-CN"/>
              </w:rPr>
              <w:t>Y</w:t>
            </w:r>
            <w:r>
              <w:rPr>
                <w:rFonts w:ascii="Times New Roman" w:hAnsi="Times New Roman" w:eastAsia="宋体" w:cs="Times New Roman"/>
                <w:b w:val="0"/>
                <w:sz w:val="21"/>
                <w:szCs w:val="20"/>
                <w:lang w:val="ru-RU"/>
              </w:rPr>
              <w:t>слуг по ведению бухгалтерского учета</w:t>
            </w:r>
          </w:p>
        </w:tc>
        <w:tc>
          <w:tcPr>
            <w:tcW w:w="946" w:type="dxa"/>
            <w:vAlign w:val="center"/>
          </w:tcPr>
          <w:p w14:paraId="5EA983D4">
            <w:pPr>
              <w:adjustRightInd w:val="0"/>
              <w:snapToGrid w:val="0"/>
              <w:spacing w:after="0" w:line="240" w:lineRule="auto"/>
              <w:jc w:val="center"/>
              <w:rPr>
                <w:rFonts w:hint="default" w:eastAsia="宋体"/>
                <w:lang w:val="ru-RU" w:eastAsia="zh-CN"/>
              </w:rPr>
            </w:pPr>
            <w:r>
              <w:rPr>
                <w:rFonts w:hint="eastAsia"/>
                <w:lang w:val="en-US" w:eastAsia="zh-CN"/>
              </w:rPr>
              <w:t>月</w:t>
            </w:r>
            <w:r>
              <w:rPr>
                <w:rFonts w:hint="default"/>
                <w:sz w:val="24"/>
                <w:szCs w:val="24"/>
                <w:lang w:val="ru-RU" w:eastAsia="zh-CN"/>
              </w:rPr>
              <w:t>месяц</w:t>
            </w:r>
          </w:p>
        </w:tc>
        <w:tc>
          <w:tcPr>
            <w:tcW w:w="800" w:type="dxa"/>
            <w:vAlign w:val="center"/>
          </w:tcPr>
          <w:p w14:paraId="44D464ED">
            <w:pPr>
              <w:adjustRightInd w:val="0"/>
              <w:snapToGrid w:val="0"/>
              <w:spacing w:after="0" w:line="240" w:lineRule="auto"/>
              <w:jc w:val="center"/>
            </w:pPr>
            <w:r>
              <w:rPr>
                <w:rFonts w:hint="eastAsia"/>
                <w:lang w:val="en-US" w:eastAsia="zh-CN"/>
              </w:rPr>
              <w:t>24</w:t>
            </w:r>
          </w:p>
        </w:tc>
        <w:tc>
          <w:tcPr>
            <w:tcW w:w="1236" w:type="dxa"/>
            <w:vAlign w:val="center"/>
          </w:tcPr>
          <w:p w14:paraId="5B7E5ECA">
            <w:pPr>
              <w:adjustRightInd w:val="0"/>
              <w:snapToGrid w:val="0"/>
              <w:spacing w:after="0" w:line="240" w:lineRule="auto"/>
              <w:jc w:val="center"/>
            </w:pPr>
          </w:p>
        </w:tc>
        <w:tc>
          <w:tcPr>
            <w:tcW w:w="1664" w:type="dxa"/>
            <w:vAlign w:val="center"/>
          </w:tcPr>
          <w:p w14:paraId="5B5774A5">
            <w:pPr>
              <w:adjustRightInd w:val="0"/>
              <w:snapToGrid w:val="0"/>
              <w:spacing w:after="0" w:line="240" w:lineRule="auto"/>
              <w:jc w:val="center"/>
            </w:pPr>
          </w:p>
        </w:tc>
        <w:tc>
          <w:tcPr>
            <w:tcW w:w="1450" w:type="dxa"/>
            <w:vAlign w:val="center"/>
          </w:tcPr>
          <w:p w14:paraId="01679CCD">
            <w:pPr>
              <w:adjustRightInd w:val="0"/>
              <w:snapToGrid w:val="0"/>
              <w:spacing w:after="0" w:line="240" w:lineRule="auto"/>
              <w:jc w:val="center"/>
            </w:pPr>
          </w:p>
        </w:tc>
        <w:tc>
          <w:tcPr>
            <w:tcW w:w="944" w:type="dxa"/>
            <w:vAlign w:val="center"/>
          </w:tcPr>
          <w:p w14:paraId="03CE0C0D">
            <w:pPr>
              <w:adjustRightInd w:val="0"/>
              <w:snapToGrid w:val="0"/>
              <w:spacing w:after="0" w:line="240" w:lineRule="auto"/>
              <w:jc w:val="center"/>
            </w:pPr>
          </w:p>
        </w:tc>
      </w:tr>
      <w:tr w14:paraId="15DE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29" w:hRule="atLeast"/>
        </w:trPr>
        <w:tc>
          <w:tcPr>
            <w:tcW w:w="681" w:type="dxa"/>
            <w:vAlign w:val="center"/>
          </w:tcPr>
          <w:p w14:paraId="63ADAB2E">
            <w:pPr>
              <w:adjustRightInd w:val="0"/>
              <w:snapToGrid w:val="0"/>
              <w:spacing w:after="0" w:line="240" w:lineRule="auto"/>
              <w:jc w:val="center"/>
            </w:pPr>
            <w:r>
              <w:rPr>
                <w:rFonts w:hint="eastAsia"/>
                <w:lang w:val="en-US" w:eastAsia="zh-CN"/>
              </w:rPr>
              <w:t>2</w:t>
            </w:r>
          </w:p>
        </w:tc>
        <w:tc>
          <w:tcPr>
            <w:tcW w:w="1527" w:type="dxa"/>
            <w:vAlign w:val="center"/>
          </w:tcPr>
          <w:p w14:paraId="30BE33E7">
            <w:pPr>
              <w:adjustRightInd w:val="0"/>
              <w:snapToGrid w:val="0"/>
              <w:spacing w:after="0" w:line="240" w:lineRule="auto"/>
              <w:jc w:val="center"/>
              <w:rPr>
                <w:rFonts w:hint="default"/>
                <w:lang w:val="ru-RU"/>
              </w:rPr>
            </w:pPr>
            <w:r>
              <w:rPr>
                <w:rFonts w:hint="eastAsia"/>
                <w:lang w:val="en-US" w:eastAsia="zh-CN"/>
              </w:rPr>
              <w:t>配合政府核查服务</w:t>
            </w:r>
            <w:r>
              <w:rPr>
                <w:rFonts w:hint="default"/>
                <w:lang w:val="ru-RU" w:eastAsia="zh-CN"/>
              </w:rPr>
              <w:t>Сотрудничество с государственными службами проверки</w:t>
            </w:r>
          </w:p>
        </w:tc>
        <w:tc>
          <w:tcPr>
            <w:tcW w:w="946" w:type="dxa"/>
            <w:vAlign w:val="center"/>
          </w:tcPr>
          <w:p w14:paraId="7F27FD6C">
            <w:pPr>
              <w:adjustRightInd w:val="0"/>
              <w:snapToGrid w:val="0"/>
              <w:spacing w:after="0" w:line="240" w:lineRule="auto"/>
              <w:jc w:val="center"/>
            </w:pPr>
            <w:r>
              <w:rPr>
                <w:rFonts w:hint="eastAsia"/>
                <w:lang w:val="en-US" w:eastAsia="zh-CN"/>
              </w:rPr>
              <w:t>小时</w:t>
            </w:r>
            <w:r>
              <w:rPr>
                <w:rFonts w:hint="default"/>
                <w:lang w:val="ru-RU" w:eastAsia="zh-CN"/>
              </w:rPr>
              <w:t>часов</w:t>
            </w:r>
          </w:p>
        </w:tc>
        <w:tc>
          <w:tcPr>
            <w:tcW w:w="800" w:type="dxa"/>
            <w:vAlign w:val="center"/>
          </w:tcPr>
          <w:p w14:paraId="7B05C6E6">
            <w:pPr>
              <w:adjustRightInd w:val="0"/>
              <w:snapToGrid w:val="0"/>
              <w:spacing w:after="0" w:line="240" w:lineRule="auto"/>
              <w:jc w:val="center"/>
            </w:pPr>
            <w:r>
              <w:rPr>
                <w:rFonts w:hint="eastAsia"/>
                <w:lang w:val="en-US" w:eastAsia="zh-CN"/>
              </w:rPr>
              <w:t>20</w:t>
            </w:r>
          </w:p>
        </w:tc>
        <w:tc>
          <w:tcPr>
            <w:tcW w:w="1236" w:type="dxa"/>
            <w:vAlign w:val="center"/>
          </w:tcPr>
          <w:p w14:paraId="2320F078">
            <w:pPr>
              <w:adjustRightInd w:val="0"/>
              <w:snapToGrid w:val="0"/>
              <w:spacing w:after="0" w:line="240" w:lineRule="auto"/>
              <w:jc w:val="center"/>
            </w:pPr>
          </w:p>
        </w:tc>
        <w:tc>
          <w:tcPr>
            <w:tcW w:w="1664" w:type="dxa"/>
            <w:vAlign w:val="center"/>
          </w:tcPr>
          <w:p w14:paraId="7549B227">
            <w:pPr>
              <w:adjustRightInd w:val="0"/>
              <w:snapToGrid w:val="0"/>
              <w:spacing w:after="0" w:line="240" w:lineRule="auto"/>
              <w:jc w:val="center"/>
            </w:pPr>
          </w:p>
        </w:tc>
        <w:tc>
          <w:tcPr>
            <w:tcW w:w="1450" w:type="dxa"/>
            <w:vAlign w:val="center"/>
          </w:tcPr>
          <w:p w14:paraId="458E472C">
            <w:pPr>
              <w:adjustRightInd w:val="0"/>
              <w:snapToGrid w:val="0"/>
              <w:spacing w:after="0" w:line="240" w:lineRule="auto"/>
              <w:jc w:val="center"/>
            </w:pPr>
          </w:p>
        </w:tc>
        <w:tc>
          <w:tcPr>
            <w:tcW w:w="944" w:type="dxa"/>
            <w:vAlign w:val="center"/>
          </w:tcPr>
          <w:p w14:paraId="4CA887D4">
            <w:pPr>
              <w:adjustRightInd w:val="0"/>
              <w:snapToGrid w:val="0"/>
              <w:spacing w:after="0" w:line="240" w:lineRule="auto"/>
              <w:jc w:val="center"/>
            </w:pPr>
            <w:r>
              <w:rPr>
                <w:rFonts w:hint="eastAsia"/>
                <w:lang w:val="en-US" w:eastAsia="zh-CN"/>
              </w:rPr>
              <w:t>按照采购人要求</w:t>
            </w:r>
            <w:r>
              <w:rPr>
                <w:rFonts w:hint="default"/>
                <w:lang w:val="ru-RU" w:eastAsia="zh-CN"/>
              </w:rPr>
              <w:t>В соответствии с требованиями Покупателя</w:t>
            </w:r>
          </w:p>
        </w:tc>
      </w:tr>
      <w:tr w14:paraId="21DA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3954" w:type="dxa"/>
            <w:gridSpan w:val="4"/>
            <w:vAlign w:val="center"/>
          </w:tcPr>
          <w:p w14:paraId="2558BACD">
            <w:pPr>
              <w:jc w:val="both"/>
              <w:rPr>
                <w:rFonts w:hint="eastAsia"/>
                <w:highlight w:val="none"/>
              </w:rPr>
            </w:pPr>
            <w:r>
              <w:rPr>
                <w:rFonts w:hint="eastAsia"/>
                <w:highlight w:val="none"/>
                <w:lang w:val="en-US" w:eastAsia="zh-CN"/>
              </w:rPr>
              <w:t>合计</w:t>
            </w:r>
            <w:r>
              <w:rPr>
                <w:rFonts w:hint="default"/>
                <w:highlight w:val="none"/>
                <w:lang w:val="ru-RU"/>
              </w:rPr>
              <w:t xml:space="preserve"> </w:t>
            </w:r>
            <w:r>
              <w:rPr>
                <w:rFonts w:hint="eastAsia"/>
                <w:highlight w:val="none"/>
                <w:lang w:val="en-US" w:eastAsia="zh-CN"/>
              </w:rPr>
              <w:t xml:space="preserve">B </w:t>
            </w:r>
            <w:r>
              <w:rPr>
                <w:rFonts w:hint="default" w:ascii="Times New Roman" w:hAnsi="Times New Roman" w:cs="Times New Roman"/>
                <w:highlight w:val="none"/>
                <w:lang w:val="ru-RU"/>
              </w:rPr>
              <w:t>итоге</w:t>
            </w:r>
          </w:p>
        </w:tc>
        <w:tc>
          <w:tcPr>
            <w:tcW w:w="1236" w:type="dxa"/>
            <w:vAlign w:val="center"/>
          </w:tcPr>
          <w:p w14:paraId="431534FF">
            <w:pPr>
              <w:jc w:val="center"/>
              <w:rPr>
                <w:highlight w:val="none"/>
              </w:rPr>
            </w:pPr>
          </w:p>
        </w:tc>
        <w:tc>
          <w:tcPr>
            <w:tcW w:w="1664" w:type="dxa"/>
            <w:vAlign w:val="center"/>
          </w:tcPr>
          <w:p w14:paraId="08404129">
            <w:pPr>
              <w:jc w:val="center"/>
              <w:rPr>
                <w:highlight w:val="none"/>
              </w:rPr>
            </w:pPr>
          </w:p>
        </w:tc>
        <w:tc>
          <w:tcPr>
            <w:tcW w:w="1450" w:type="dxa"/>
            <w:vAlign w:val="center"/>
          </w:tcPr>
          <w:p w14:paraId="6F3518D0">
            <w:pPr>
              <w:jc w:val="center"/>
              <w:rPr>
                <w:highlight w:val="none"/>
              </w:rPr>
            </w:pPr>
          </w:p>
        </w:tc>
        <w:tc>
          <w:tcPr>
            <w:tcW w:w="954" w:type="dxa"/>
            <w:gridSpan w:val="2"/>
            <w:vAlign w:val="center"/>
          </w:tcPr>
          <w:p w14:paraId="1560FA49">
            <w:pPr>
              <w:jc w:val="center"/>
              <w:rPr>
                <w:highlight w:val="none"/>
              </w:rPr>
            </w:pPr>
          </w:p>
        </w:tc>
      </w:tr>
    </w:tbl>
    <w:p w14:paraId="283D7D3F">
      <w:pPr>
        <w:rPr>
          <w:rFonts w:hint="eastAsia"/>
        </w:rPr>
      </w:pPr>
    </w:p>
    <w:p w14:paraId="0EA3F7A4">
      <w:r>
        <w:rPr>
          <w:rFonts w:hint="eastAsia"/>
        </w:rPr>
        <w:t>备注：</w:t>
      </w:r>
    </w:p>
    <w:p w14:paraId="7128E03E">
      <w:pPr>
        <w:ind w:left="420"/>
        <w:rPr>
          <w:rFonts w:hint="eastAsia"/>
        </w:rPr>
      </w:pPr>
      <w:r>
        <w:rPr>
          <w:rFonts w:hint="eastAsia"/>
          <w:lang w:val="en-US" w:eastAsia="zh-CN"/>
        </w:rPr>
        <w:t>1</w:t>
      </w:r>
      <w:r>
        <w:rPr>
          <w:rFonts w:hint="eastAsia"/>
        </w:rPr>
        <w:t>.报价表中增值税比例按照国家政策执行。</w:t>
      </w:r>
    </w:p>
    <w:p w14:paraId="3D311002">
      <w:pPr>
        <w:pStyle w:val="19"/>
        <w:ind w:left="0" w:leftChars="0" w:firstLine="0" w:firstLineChars="0"/>
        <w:rPr>
          <w:rFonts w:hint="default" w:ascii="Times New Roman" w:hAnsi="Times New Roman" w:cs="Times New Roman"/>
        </w:rPr>
      </w:pPr>
      <w:r>
        <w:rPr>
          <w:rFonts w:hint="default" w:ascii="Times New Roman" w:hAnsi="Times New Roman" w:cs="Times New Roman"/>
        </w:rPr>
        <w:t>Примечания:</w:t>
      </w:r>
    </w:p>
    <w:p w14:paraId="52289054">
      <w:pPr>
        <w:pStyle w:val="19"/>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 пропорция налога на добавленную стоимость в предложении осуществляется в соответствии с национальной политикой.</w:t>
      </w:r>
    </w:p>
    <w:p w14:paraId="42A7A0E0">
      <w:pPr>
        <w:pStyle w:val="19"/>
        <w:rPr>
          <w:rFonts w:hint="default" w:ascii="Times New Roman" w:hAnsi="Times New Roman" w:cs="Times New Roman"/>
        </w:rPr>
      </w:pPr>
    </w:p>
    <w:sectPr>
      <w:pgSz w:w="11906" w:h="16838"/>
      <w:pgMar w:top="1440" w:right="1803" w:bottom="1440" w:left="1803" w:header="851" w:footer="992" w:gutter="0"/>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2000000000000000000"/>
    <w:charset w:val="86"/>
    <w:family w:val="auto"/>
    <w:pitch w:val="default"/>
    <w:sig w:usb0="00000000" w:usb1="00000000" w:usb2="00082016" w:usb3="00000000" w:csb0="00040001"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隶书">
    <w:altName w:val="微软雅黑"/>
    <w:panose1 w:val="02010509060101010101"/>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4751E">
    <w:pPr>
      <w:pStyle w:val="12"/>
      <w:ind w:left="480" w:hanging="480"/>
      <w:jc w:val="center"/>
    </w:pPr>
    <w:r>
      <w:fldChar w:fldCharType="begin"/>
    </w:r>
    <w:r>
      <w:instrText xml:space="preserve">PAGE   \* MERGEFORMAT</w:instrText>
    </w:r>
    <w:r>
      <w:fldChar w:fldCharType="separate"/>
    </w:r>
    <w:r>
      <w:rPr>
        <w:lang w:val="zh-CN"/>
      </w:rPr>
      <w:t>43</w:t>
    </w:r>
    <w:r>
      <w:fldChar w:fldCharType="end"/>
    </w:r>
  </w:p>
  <w:p w14:paraId="10E2A9BE">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67FB7">
    <w:pPr>
      <w:pStyle w:val="12"/>
      <w:ind w:left="480" w:hanging="480"/>
      <w:jc w:val="center"/>
    </w:pPr>
    <w:r>
      <w:fldChar w:fldCharType="begin"/>
    </w:r>
    <w:r>
      <w:instrText xml:space="preserve">PAGE   \* MERGEFORMAT</w:instrText>
    </w:r>
    <w:r>
      <w:fldChar w:fldCharType="separate"/>
    </w:r>
    <w:r>
      <w:rPr>
        <w:lang w:val="zh-CN"/>
      </w:rPr>
      <w:t>16</w:t>
    </w:r>
    <w:r>
      <w:fldChar w:fldCharType="end"/>
    </w:r>
  </w:p>
  <w:p w14:paraId="7AC9C209">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2877B">
    <w:pPr>
      <w:jc w:val="right"/>
    </w:pPr>
  </w:p>
  <w:p w14:paraId="4FD13715">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B6A02">
    <w:r>
      <w:drawing>
        <wp:inline distT="0" distB="0" distL="114300" distR="114300">
          <wp:extent cx="1591945" cy="339725"/>
          <wp:effectExtent l="0" t="0" r="8255" b="3175"/>
          <wp:docPr id="7" name="图片 3" descr="3f1fb761c588e8e0328a83d2c90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3f1fb761c588e8e0328a83d2c902675"/>
                  <pic:cNvPicPr>
                    <a:picLocks noChangeAspect="1"/>
                  </pic:cNvPicPr>
                </pic:nvPicPr>
                <pic:blipFill>
                  <a:blip r:embed="rId1"/>
                  <a:stretch>
                    <a:fillRect/>
                  </a:stretch>
                </pic:blipFill>
                <pic:spPr>
                  <a:xfrm>
                    <a:off x="0" y="0"/>
                    <a:ext cx="1591945" cy="339725"/>
                  </a:xfrm>
                  <a:prstGeom prst="rect">
                    <a:avLst/>
                  </a:prstGeom>
                  <a:noFill/>
                  <a:ln>
                    <a:noFill/>
                  </a:ln>
                </pic:spPr>
              </pic:pic>
            </a:graphicData>
          </a:graphic>
        </wp:inline>
      </w:drawing>
    </w:r>
  </w:p>
  <w:p w14:paraId="6CA5356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C9BD5">
    <w:pPr>
      <w:pStyle w:val="13"/>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CC476">
    <w:pPr>
      <w:pStyle w:val="13"/>
      <w:jc w:val="right"/>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B81406"/>
    <w:multiLevelType w:val="singleLevel"/>
    <w:tmpl w:val="A6B81406"/>
    <w:lvl w:ilvl="0" w:tentative="0">
      <w:start w:val="1"/>
      <w:numFmt w:val="chineseCounting"/>
      <w:suff w:val="space"/>
      <w:lvlText w:val="%1、"/>
      <w:lvlJc w:val="left"/>
      <w:rPr>
        <w:rFonts w:hint="eastAsia"/>
      </w:rPr>
    </w:lvl>
  </w:abstractNum>
  <w:abstractNum w:abstractNumId="1">
    <w:nsid w:val="C4AEC1D2"/>
    <w:multiLevelType w:val="singleLevel"/>
    <w:tmpl w:val="C4AEC1D2"/>
    <w:lvl w:ilvl="0" w:tentative="0">
      <w:start w:val="4"/>
      <w:numFmt w:val="chineseCounting"/>
      <w:suff w:val="space"/>
      <w:lvlText w:val="第%1章"/>
      <w:lvlJc w:val="left"/>
      <w:rPr>
        <w:rFonts w:hint="eastAsia"/>
      </w:rPr>
    </w:lvl>
  </w:abstractNum>
  <w:abstractNum w:abstractNumId="2">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3">
    <w:nsid w:val="0000000C"/>
    <w:multiLevelType w:val="multilevel"/>
    <w:tmpl w:val="0000000C"/>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lvlText w:val="%1%2"/>
      <w:lvlJc w:val="left"/>
      <w:pPr>
        <w:tabs>
          <w:tab w:val="left" w:pos="360"/>
        </w:tabs>
        <w:ind w:left="0" w:firstLine="0"/>
      </w:pPr>
      <w:rPr>
        <w:rFonts w:hint="eastAsia" w:ascii="黑体" w:hAnsi="Times New Roman" w:eastAsia="黑体"/>
        <w:b/>
        <w:i w:val="0"/>
        <w:sz w:val="20"/>
      </w:rPr>
    </w:lvl>
    <w:lvl w:ilvl="2" w:tentative="0">
      <w:start w:val="1"/>
      <w:numFmt w:val="decimal"/>
      <w:lvlText w:val="%1%2.%3"/>
      <w:lvlJc w:val="left"/>
      <w:pPr>
        <w:tabs>
          <w:tab w:val="left" w:pos="720"/>
        </w:tabs>
        <w:ind w:left="0" w:firstLine="0"/>
      </w:pPr>
      <w:rPr>
        <w:rFonts w:hint="eastAsia" w:ascii="黑体" w:hAnsi="Times New Roman" w:eastAsia="黑体"/>
        <w:b/>
        <w:i w:val="0"/>
        <w:sz w:val="21"/>
      </w:rPr>
    </w:lvl>
    <w:lvl w:ilvl="3" w:tentative="0">
      <w:start w:val="1"/>
      <w:numFmt w:val="decimal"/>
      <w:lvlText w:val="%1%2.%3.%4"/>
      <w:lvlJc w:val="left"/>
      <w:pPr>
        <w:tabs>
          <w:tab w:val="left" w:pos="720"/>
        </w:tabs>
        <w:ind w:left="0" w:firstLine="0"/>
      </w:pPr>
      <w:rPr>
        <w:rFonts w:hint="eastAsia" w:ascii="黑体" w:hAnsi="Times New Roman" w:eastAsia="黑体"/>
        <w:b/>
        <w:i w:val="0"/>
        <w:sz w:val="21"/>
      </w:rPr>
    </w:lvl>
    <w:lvl w:ilvl="4" w:tentative="0">
      <w:start w:val="1"/>
      <w:numFmt w:val="decimal"/>
      <w:pStyle w:val="40"/>
      <w:lvlText w:val="%2.%3.%4.%5"/>
      <w:lvlJc w:val="left"/>
      <w:pPr>
        <w:tabs>
          <w:tab w:val="left" w:pos="1506"/>
        </w:tabs>
        <w:ind w:left="426" w:firstLine="0"/>
      </w:pPr>
      <w:rPr>
        <w:rFonts w:hint="eastAsia" w:ascii="黑体" w:hAnsi="Times New Roman" w:eastAsia="黑体"/>
        <w:b/>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4">
    <w:nsid w:val="1230757B"/>
    <w:multiLevelType w:val="multilevel"/>
    <w:tmpl w:val="1230757B"/>
    <w:lvl w:ilvl="0" w:tentative="0">
      <w:start w:val="1"/>
      <w:numFmt w:val="decimal"/>
      <w:lvlText w:val="%1."/>
      <w:lvlJc w:val="left"/>
      <w:pPr>
        <w:tabs>
          <w:tab w:val="left" w:pos="0"/>
        </w:tabs>
        <w:ind w:left="0" w:hanging="360"/>
      </w:pPr>
      <w:rPr>
        <w:rFonts w:hint="default"/>
      </w:rPr>
    </w:lvl>
    <w:lvl w:ilvl="1" w:tentative="0">
      <w:start w:val="1"/>
      <w:numFmt w:val="decimal"/>
      <w:isLgl/>
      <w:lvlText w:val="%1.%2."/>
      <w:lvlJc w:val="left"/>
      <w:pPr>
        <w:tabs>
          <w:tab w:val="left" w:pos="420"/>
        </w:tabs>
        <w:ind w:left="420" w:hanging="420"/>
      </w:pPr>
      <w:rPr>
        <w:rFonts w:hint="default"/>
      </w:rPr>
    </w:lvl>
    <w:lvl w:ilvl="2" w:tentative="0">
      <w:start w:val="1"/>
      <w:numFmt w:val="decimal"/>
      <w:isLgl/>
      <w:lvlText w:val="%1.%2.%3."/>
      <w:lvlJc w:val="left"/>
      <w:pPr>
        <w:tabs>
          <w:tab w:val="left" w:pos="1080"/>
        </w:tabs>
        <w:ind w:left="1080" w:hanging="720"/>
      </w:pPr>
      <w:rPr>
        <w:rFonts w:hint="default"/>
      </w:rPr>
    </w:lvl>
    <w:lvl w:ilvl="3" w:tentative="0">
      <w:start w:val="1"/>
      <w:numFmt w:val="decimal"/>
      <w:isLgl/>
      <w:lvlText w:val="%1.%2.%3.%4."/>
      <w:lvlJc w:val="left"/>
      <w:pPr>
        <w:tabs>
          <w:tab w:val="left" w:pos="1440"/>
        </w:tabs>
        <w:ind w:left="1440" w:hanging="720"/>
      </w:pPr>
      <w:rPr>
        <w:rFonts w:hint="default"/>
      </w:rPr>
    </w:lvl>
    <w:lvl w:ilvl="4" w:tentative="0">
      <w:start w:val="1"/>
      <w:numFmt w:val="decimal"/>
      <w:isLgl/>
      <w:lvlText w:val="%1.%2.%3.%4.%5."/>
      <w:lvlJc w:val="left"/>
      <w:pPr>
        <w:tabs>
          <w:tab w:val="left" w:pos="2160"/>
        </w:tabs>
        <w:ind w:left="2160" w:hanging="1080"/>
      </w:pPr>
      <w:rPr>
        <w:rFonts w:hint="default"/>
      </w:rPr>
    </w:lvl>
    <w:lvl w:ilvl="5" w:tentative="0">
      <w:start w:val="1"/>
      <w:numFmt w:val="decimal"/>
      <w:isLgl/>
      <w:lvlText w:val="%1.%2.%3.%4.%5.%6."/>
      <w:lvlJc w:val="left"/>
      <w:pPr>
        <w:tabs>
          <w:tab w:val="left" w:pos="2520"/>
        </w:tabs>
        <w:ind w:left="2520" w:hanging="1080"/>
      </w:pPr>
      <w:rPr>
        <w:rFonts w:hint="default"/>
      </w:rPr>
    </w:lvl>
    <w:lvl w:ilvl="6" w:tentative="0">
      <w:start w:val="1"/>
      <w:numFmt w:val="decimal"/>
      <w:isLgl/>
      <w:lvlText w:val="%1.%2.%3.%4.%5.%6.%7."/>
      <w:lvlJc w:val="left"/>
      <w:pPr>
        <w:tabs>
          <w:tab w:val="left" w:pos="3240"/>
        </w:tabs>
        <w:ind w:left="3240" w:hanging="1440"/>
      </w:pPr>
      <w:rPr>
        <w:rFonts w:hint="default"/>
      </w:rPr>
    </w:lvl>
    <w:lvl w:ilvl="7" w:tentative="0">
      <w:start w:val="1"/>
      <w:numFmt w:val="decimal"/>
      <w:isLgl/>
      <w:lvlText w:val="%1.%2.%3.%4.%5.%6.%7.%8."/>
      <w:lvlJc w:val="left"/>
      <w:pPr>
        <w:tabs>
          <w:tab w:val="left" w:pos="3600"/>
        </w:tabs>
        <w:ind w:left="3600" w:hanging="1440"/>
      </w:pPr>
      <w:rPr>
        <w:rFonts w:hint="default"/>
      </w:rPr>
    </w:lvl>
    <w:lvl w:ilvl="8" w:tentative="0">
      <w:start w:val="1"/>
      <w:numFmt w:val="decimal"/>
      <w:isLgl/>
      <w:lvlText w:val="%1.%2.%3.%4.%5.%6.%7.%8.%9."/>
      <w:lvlJc w:val="left"/>
      <w:pPr>
        <w:tabs>
          <w:tab w:val="left" w:pos="4320"/>
        </w:tabs>
        <w:ind w:left="4320" w:hanging="1800"/>
      </w:pPr>
      <w:rPr>
        <w:rFonts w:hint="default"/>
      </w:rPr>
    </w:lvl>
  </w:abstractNum>
  <w:abstractNum w:abstractNumId="5">
    <w:nsid w:val="14CE45D5"/>
    <w:multiLevelType w:val="multilevel"/>
    <w:tmpl w:val="14CE45D5"/>
    <w:lvl w:ilvl="0" w:tentative="0">
      <w:start w:val="1"/>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19322BAF"/>
    <w:multiLevelType w:val="multilevel"/>
    <w:tmpl w:val="19322BA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1"/>
      <w:suff w:val="nothing"/>
      <w:lvlText w:val="%3．"/>
      <w:lvlJc w:val="left"/>
      <w:pPr>
        <w:ind w:left="142" w:firstLine="0"/>
      </w:pPr>
      <w:rPr>
        <w:rFonts w:ascii="宋体" w:hAnsi="Times New Roman" w:eastAsia="宋体" w:cs="Times New Roman"/>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B92300E"/>
    <w:multiLevelType w:val="multilevel"/>
    <w:tmpl w:val="2B92300E"/>
    <w:lvl w:ilvl="0" w:tentative="0">
      <w:start w:val="1"/>
      <w:numFmt w:val="decimal"/>
      <w:lvlText w:val="%1."/>
      <w:lvlJc w:val="left"/>
      <w:pPr>
        <w:ind w:left="720" w:hanging="360"/>
      </w:pPr>
      <w:rPr>
        <w:rFonts w:ascii="Times New Roman" w:hAnsi="Times New Roman" w:cs="Times New Roman" w:eastAsiaTheme="minorHAns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D679E2E"/>
    <w:multiLevelType w:val="singleLevel"/>
    <w:tmpl w:val="4D679E2E"/>
    <w:lvl w:ilvl="0" w:tentative="0">
      <w:start w:val="1"/>
      <w:numFmt w:val="chineseCounting"/>
      <w:suff w:val="nothing"/>
      <w:lvlText w:val="%1、"/>
      <w:lvlJc w:val="left"/>
      <w:rPr>
        <w:rFonts w:hint="eastAsia"/>
      </w:rPr>
    </w:lvl>
  </w:abstractNum>
  <w:num w:numId="1">
    <w:abstractNumId w:val="3"/>
  </w:num>
  <w:num w:numId="2">
    <w:abstractNumId w:val="7"/>
  </w:num>
  <w:num w:numId="3">
    <w:abstractNumId w:val="6"/>
  </w:num>
  <w:num w:numId="4">
    <w:abstractNumId w:val="9"/>
  </w:num>
  <w:num w:numId="5">
    <w:abstractNumId w:val="1"/>
  </w:num>
  <w:num w:numId="6">
    <w:abstractNumId w:val="0"/>
  </w:num>
  <w:num w:numId="7">
    <w:abstractNumId w:val="4"/>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BE2"/>
    <w:rsid w:val="00031F3A"/>
    <w:rsid w:val="00072FA7"/>
    <w:rsid w:val="00084325"/>
    <w:rsid w:val="000B71AD"/>
    <w:rsid w:val="00105813"/>
    <w:rsid w:val="0016394B"/>
    <w:rsid w:val="001733EF"/>
    <w:rsid w:val="001A4F85"/>
    <w:rsid w:val="001D0C9D"/>
    <w:rsid w:val="001D3A93"/>
    <w:rsid w:val="00215AA2"/>
    <w:rsid w:val="0024511C"/>
    <w:rsid w:val="002D6026"/>
    <w:rsid w:val="0037100B"/>
    <w:rsid w:val="003E30AD"/>
    <w:rsid w:val="003E40BF"/>
    <w:rsid w:val="003F0BF0"/>
    <w:rsid w:val="004C72DB"/>
    <w:rsid w:val="00507F77"/>
    <w:rsid w:val="00522A67"/>
    <w:rsid w:val="00553D9C"/>
    <w:rsid w:val="00560C1F"/>
    <w:rsid w:val="005B40D9"/>
    <w:rsid w:val="006D1E09"/>
    <w:rsid w:val="007417EC"/>
    <w:rsid w:val="007D118C"/>
    <w:rsid w:val="007E0D24"/>
    <w:rsid w:val="008354E0"/>
    <w:rsid w:val="00854857"/>
    <w:rsid w:val="00935FF0"/>
    <w:rsid w:val="00954709"/>
    <w:rsid w:val="009E59B5"/>
    <w:rsid w:val="00A7787A"/>
    <w:rsid w:val="00A83CFA"/>
    <w:rsid w:val="00AD3EE0"/>
    <w:rsid w:val="00AD4DE7"/>
    <w:rsid w:val="00B628D0"/>
    <w:rsid w:val="00BB6568"/>
    <w:rsid w:val="00BE3163"/>
    <w:rsid w:val="00C14911"/>
    <w:rsid w:val="00CA1588"/>
    <w:rsid w:val="00D25C31"/>
    <w:rsid w:val="00D4758E"/>
    <w:rsid w:val="00DA2BE2"/>
    <w:rsid w:val="00E3235A"/>
    <w:rsid w:val="00E51343"/>
    <w:rsid w:val="00E9286A"/>
    <w:rsid w:val="00EC52AC"/>
    <w:rsid w:val="00ED79DD"/>
    <w:rsid w:val="00F64798"/>
    <w:rsid w:val="010D588C"/>
    <w:rsid w:val="015C729F"/>
    <w:rsid w:val="023C4B23"/>
    <w:rsid w:val="02BF55E4"/>
    <w:rsid w:val="02C74967"/>
    <w:rsid w:val="02CC09EA"/>
    <w:rsid w:val="03112D9E"/>
    <w:rsid w:val="0370131D"/>
    <w:rsid w:val="038D509D"/>
    <w:rsid w:val="038F4EE1"/>
    <w:rsid w:val="0421100A"/>
    <w:rsid w:val="0526790E"/>
    <w:rsid w:val="05D1047A"/>
    <w:rsid w:val="06A3363A"/>
    <w:rsid w:val="06D04719"/>
    <w:rsid w:val="07056E6E"/>
    <w:rsid w:val="07686C1A"/>
    <w:rsid w:val="07EA5A36"/>
    <w:rsid w:val="07FD42D2"/>
    <w:rsid w:val="08234A5F"/>
    <w:rsid w:val="08EC134B"/>
    <w:rsid w:val="09125144"/>
    <w:rsid w:val="09173EE8"/>
    <w:rsid w:val="093E2FB4"/>
    <w:rsid w:val="0946244D"/>
    <w:rsid w:val="095802E7"/>
    <w:rsid w:val="0A0A043D"/>
    <w:rsid w:val="0AB56E10"/>
    <w:rsid w:val="0AC0239A"/>
    <w:rsid w:val="0B6873D7"/>
    <w:rsid w:val="0B80557B"/>
    <w:rsid w:val="0B8344B9"/>
    <w:rsid w:val="0BC407FA"/>
    <w:rsid w:val="0BD05F44"/>
    <w:rsid w:val="0C32195A"/>
    <w:rsid w:val="0D325D51"/>
    <w:rsid w:val="0D3D0068"/>
    <w:rsid w:val="0D442B00"/>
    <w:rsid w:val="0D5009BC"/>
    <w:rsid w:val="0D793BD2"/>
    <w:rsid w:val="0D9679C2"/>
    <w:rsid w:val="0DC748B1"/>
    <w:rsid w:val="0DF54A5B"/>
    <w:rsid w:val="0E14285C"/>
    <w:rsid w:val="0E330E34"/>
    <w:rsid w:val="0E6B241D"/>
    <w:rsid w:val="0EB80A82"/>
    <w:rsid w:val="0EED0283"/>
    <w:rsid w:val="0F5D4BFB"/>
    <w:rsid w:val="0FB033E2"/>
    <w:rsid w:val="0FC729EB"/>
    <w:rsid w:val="0FD357CA"/>
    <w:rsid w:val="0FE50DB1"/>
    <w:rsid w:val="0FEC6BEB"/>
    <w:rsid w:val="10A86CAD"/>
    <w:rsid w:val="11046350"/>
    <w:rsid w:val="1122245A"/>
    <w:rsid w:val="112541F7"/>
    <w:rsid w:val="1158684B"/>
    <w:rsid w:val="115D0FE0"/>
    <w:rsid w:val="11B31FC9"/>
    <w:rsid w:val="11B84ADF"/>
    <w:rsid w:val="12105638"/>
    <w:rsid w:val="1214724A"/>
    <w:rsid w:val="12362F52"/>
    <w:rsid w:val="129A6DEE"/>
    <w:rsid w:val="12A6282C"/>
    <w:rsid w:val="12BF6400"/>
    <w:rsid w:val="12ED1B1A"/>
    <w:rsid w:val="13E13A2C"/>
    <w:rsid w:val="14126AAC"/>
    <w:rsid w:val="145658C8"/>
    <w:rsid w:val="150217B8"/>
    <w:rsid w:val="15593193"/>
    <w:rsid w:val="157E356C"/>
    <w:rsid w:val="15CA13EB"/>
    <w:rsid w:val="15FF1B06"/>
    <w:rsid w:val="16F77815"/>
    <w:rsid w:val="174F4598"/>
    <w:rsid w:val="17FA04D8"/>
    <w:rsid w:val="18282203"/>
    <w:rsid w:val="183B5D20"/>
    <w:rsid w:val="184B09C7"/>
    <w:rsid w:val="1890540E"/>
    <w:rsid w:val="19AF2E60"/>
    <w:rsid w:val="1A3D1AD9"/>
    <w:rsid w:val="1B2D1715"/>
    <w:rsid w:val="1BD32775"/>
    <w:rsid w:val="1C02598E"/>
    <w:rsid w:val="1C1731F7"/>
    <w:rsid w:val="1C2C1F8E"/>
    <w:rsid w:val="1CC4598F"/>
    <w:rsid w:val="1D117BE5"/>
    <w:rsid w:val="1D3766AE"/>
    <w:rsid w:val="1DC12C96"/>
    <w:rsid w:val="1E287555"/>
    <w:rsid w:val="1E8A0754"/>
    <w:rsid w:val="1E932969"/>
    <w:rsid w:val="1EB7104F"/>
    <w:rsid w:val="1EEF5412"/>
    <w:rsid w:val="1F9A50EE"/>
    <w:rsid w:val="1FE80AFB"/>
    <w:rsid w:val="200F3B9D"/>
    <w:rsid w:val="20305C2E"/>
    <w:rsid w:val="20E669F9"/>
    <w:rsid w:val="214A5912"/>
    <w:rsid w:val="22EF1360"/>
    <w:rsid w:val="22FB3DD8"/>
    <w:rsid w:val="230D66FF"/>
    <w:rsid w:val="23F4064C"/>
    <w:rsid w:val="24085A2B"/>
    <w:rsid w:val="244B78CB"/>
    <w:rsid w:val="24BC53D3"/>
    <w:rsid w:val="24DF2070"/>
    <w:rsid w:val="25595449"/>
    <w:rsid w:val="26193812"/>
    <w:rsid w:val="262E7D38"/>
    <w:rsid w:val="275B027F"/>
    <w:rsid w:val="282A3A85"/>
    <w:rsid w:val="2833768D"/>
    <w:rsid w:val="28414920"/>
    <w:rsid w:val="287646BB"/>
    <w:rsid w:val="29251545"/>
    <w:rsid w:val="292A4B1B"/>
    <w:rsid w:val="29BB1E01"/>
    <w:rsid w:val="29C327B1"/>
    <w:rsid w:val="29E74CE2"/>
    <w:rsid w:val="2A7A01D5"/>
    <w:rsid w:val="2AF549FE"/>
    <w:rsid w:val="2B9B404B"/>
    <w:rsid w:val="2C026598"/>
    <w:rsid w:val="2C050CC7"/>
    <w:rsid w:val="2C230DB9"/>
    <w:rsid w:val="2C58141C"/>
    <w:rsid w:val="2CD044AE"/>
    <w:rsid w:val="2D1E1865"/>
    <w:rsid w:val="2D662285"/>
    <w:rsid w:val="2DE16DB7"/>
    <w:rsid w:val="2E06688C"/>
    <w:rsid w:val="2E122B5C"/>
    <w:rsid w:val="2F0110D2"/>
    <w:rsid w:val="2F4D4317"/>
    <w:rsid w:val="2F943F9F"/>
    <w:rsid w:val="30600490"/>
    <w:rsid w:val="30AE52F4"/>
    <w:rsid w:val="30DB6612"/>
    <w:rsid w:val="31514357"/>
    <w:rsid w:val="315503DA"/>
    <w:rsid w:val="317643C2"/>
    <w:rsid w:val="318163E8"/>
    <w:rsid w:val="31A11178"/>
    <w:rsid w:val="31C20FA4"/>
    <w:rsid w:val="31E5585D"/>
    <w:rsid w:val="320C388B"/>
    <w:rsid w:val="32312B13"/>
    <w:rsid w:val="329471BC"/>
    <w:rsid w:val="32A46701"/>
    <w:rsid w:val="33381699"/>
    <w:rsid w:val="33B352C2"/>
    <w:rsid w:val="33B45213"/>
    <w:rsid w:val="34015065"/>
    <w:rsid w:val="342942E1"/>
    <w:rsid w:val="343C649F"/>
    <w:rsid w:val="34E8572A"/>
    <w:rsid w:val="34F1077F"/>
    <w:rsid w:val="34FB0565"/>
    <w:rsid w:val="35227149"/>
    <w:rsid w:val="35635033"/>
    <w:rsid w:val="35F54283"/>
    <w:rsid w:val="35FF66E0"/>
    <w:rsid w:val="36FA3287"/>
    <w:rsid w:val="370B3847"/>
    <w:rsid w:val="37961410"/>
    <w:rsid w:val="38250C90"/>
    <w:rsid w:val="3829066A"/>
    <w:rsid w:val="382C41E8"/>
    <w:rsid w:val="38A46F75"/>
    <w:rsid w:val="3944593E"/>
    <w:rsid w:val="394A2D0C"/>
    <w:rsid w:val="39EA45A8"/>
    <w:rsid w:val="3A3A5CF5"/>
    <w:rsid w:val="3A3C7E64"/>
    <w:rsid w:val="3AAE167E"/>
    <w:rsid w:val="3BBD0E2A"/>
    <w:rsid w:val="3BDF5DD0"/>
    <w:rsid w:val="3C2906BE"/>
    <w:rsid w:val="3C367D1D"/>
    <w:rsid w:val="3C700869"/>
    <w:rsid w:val="3C777D1F"/>
    <w:rsid w:val="3CD55FC6"/>
    <w:rsid w:val="3CDD0B5B"/>
    <w:rsid w:val="3D12797A"/>
    <w:rsid w:val="3D1533CA"/>
    <w:rsid w:val="3DA75412"/>
    <w:rsid w:val="3DDB61E3"/>
    <w:rsid w:val="3E823FAC"/>
    <w:rsid w:val="3E9D095F"/>
    <w:rsid w:val="3EB03B5D"/>
    <w:rsid w:val="3EE36330"/>
    <w:rsid w:val="3F0845F3"/>
    <w:rsid w:val="3F1C7E62"/>
    <w:rsid w:val="3F7B75DE"/>
    <w:rsid w:val="3F996234"/>
    <w:rsid w:val="3FE76EE7"/>
    <w:rsid w:val="3FF6653B"/>
    <w:rsid w:val="4047635B"/>
    <w:rsid w:val="404D0CE6"/>
    <w:rsid w:val="40581E73"/>
    <w:rsid w:val="407B5E6A"/>
    <w:rsid w:val="40E87613"/>
    <w:rsid w:val="416D09A2"/>
    <w:rsid w:val="41BE2BA1"/>
    <w:rsid w:val="41C87257"/>
    <w:rsid w:val="432100CD"/>
    <w:rsid w:val="436F7CFA"/>
    <w:rsid w:val="44D60C33"/>
    <w:rsid w:val="45680315"/>
    <w:rsid w:val="45977DB1"/>
    <w:rsid w:val="459B5AA4"/>
    <w:rsid w:val="45E338BC"/>
    <w:rsid w:val="45FC0CDF"/>
    <w:rsid w:val="46794FE5"/>
    <w:rsid w:val="46BD4F6E"/>
    <w:rsid w:val="46DC0EEE"/>
    <w:rsid w:val="47187071"/>
    <w:rsid w:val="47217F6E"/>
    <w:rsid w:val="47360730"/>
    <w:rsid w:val="47574A16"/>
    <w:rsid w:val="47A71FDE"/>
    <w:rsid w:val="47D3121B"/>
    <w:rsid w:val="48524A91"/>
    <w:rsid w:val="485E16EA"/>
    <w:rsid w:val="48A93752"/>
    <w:rsid w:val="48D5291A"/>
    <w:rsid w:val="4A1D6D18"/>
    <w:rsid w:val="4A7E6793"/>
    <w:rsid w:val="4ABA40F8"/>
    <w:rsid w:val="4ABF2321"/>
    <w:rsid w:val="4B520484"/>
    <w:rsid w:val="4C232BD0"/>
    <w:rsid w:val="4C4D2334"/>
    <w:rsid w:val="4C7D526E"/>
    <w:rsid w:val="4DA97453"/>
    <w:rsid w:val="4DD77E9D"/>
    <w:rsid w:val="4E8465CF"/>
    <w:rsid w:val="4EF06A83"/>
    <w:rsid w:val="4EF873B9"/>
    <w:rsid w:val="4F31083E"/>
    <w:rsid w:val="4F5C0887"/>
    <w:rsid w:val="4F5C3076"/>
    <w:rsid w:val="4FB07228"/>
    <w:rsid w:val="500F587B"/>
    <w:rsid w:val="505D6AD8"/>
    <w:rsid w:val="50B22E43"/>
    <w:rsid w:val="5114498C"/>
    <w:rsid w:val="511E65DD"/>
    <w:rsid w:val="513158AB"/>
    <w:rsid w:val="51581DA6"/>
    <w:rsid w:val="51810026"/>
    <w:rsid w:val="52BF401F"/>
    <w:rsid w:val="531F7EF0"/>
    <w:rsid w:val="53497847"/>
    <w:rsid w:val="54841DE0"/>
    <w:rsid w:val="54F93423"/>
    <w:rsid w:val="55356C39"/>
    <w:rsid w:val="553A0E83"/>
    <w:rsid w:val="55517863"/>
    <w:rsid w:val="556C621B"/>
    <w:rsid w:val="561E1CFB"/>
    <w:rsid w:val="562F33DD"/>
    <w:rsid w:val="56763252"/>
    <w:rsid w:val="56D354F0"/>
    <w:rsid w:val="57C07EB4"/>
    <w:rsid w:val="585B7524"/>
    <w:rsid w:val="586000E9"/>
    <w:rsid w:val="586B7ED7"/>
    <w:rsid w:val="58CD4BD3"/>
    <w:rsid w:val="59155026"/>
    <w:rsid w:val="59916D23"/>
    <w:rsid w:val="59E458D8"/>
    <w:rsid w:val="5A86687D"/>
    <w:rsid w:val="5A991828"/>
    <w:rsid w:val="5ADC4ECC"/>
    <w:rsid w:val="5B0A2835"/>
    <w:rsid w:val="5B507F3C"/>
    <w:rsid w:val="5B8147BE"/>
    <w:rsid w:val="5B8D197A"/>
    <w:rsid w:val="5B9C0C7E"/>
    <w:rsid w:val="5BCB47F7"/>
    <w:rsid w:val="5BEB5F94"/>
    <w:rsid w:val="5BFC43DF"/>
    <w:rsid w:val="5C1B3975"/>
    <w:rsid w:val="5C377933"/>
    <w:rsid w:val="5C4A0B35"/>
    <w:rsid w:val="5C792707"/>
    <w:rsid w:val="5D0A394A"/>
    <w:rsid w:val="5D585CFD"/>
    <w:rsid w:val="5D625427"/>
    <w:rsid w:val="5DBC502C"/>
    <w:rsid w:val="5E424400"/>
    <w:rsid w:val="5E5D777A"/>
    <w:rsid w:val="5E9B6B85"/>
    <w:rsid w:val="5EE12B3C"/>
    <w:rsid w:val="5EE55B6B"/>
    <w:rsid w:val="5F15488A"/>
    <w:rsid w:val="5F275850"/>
    <w:rsid w:val="5F323CBD"/>
    <w:rsid w:val="5F493B14"/>
    <w:rsid w:val="5F4A2490"/>
    <w:rsid w:val="5F5A2A48"/>
    <w:rsid w:val="60371C9F"/>
    <w:rsid w:val="6081570F"/>
    <w:rsid w:val="60952165"/>
    <w:rsid w:val="60964675"/>
    <w:rsid w:val="60F95D8E"/>
    <w:rsid w:val="60FA3017"/>
    <w:rsid w:val="6137781C"/>
    <w:rsid w:val="61B2087E"/>
    <w:rsid w:val="62131F00"/>
    <w:rsid w:val="631A2ABB"/>
    <w:rsid w:val="6370409C"/>
    <w:rsid w:val="63A1154C"/>
    <w:rsid w:val="63D24A93"/>
    <w:rsid w:val="64187069"/>
    <w:rsid w:val="641C6666"/>
    <w:rsid w:val="64B659E4"/>
    <w:rsid w:val="64DB330A"/>
    <w:rsid w:val="650A31F6"/>
    <w:rsid w:val="65196C59"/>
    <w:rsid w:val="651F307E"/>
    <w:rsid w:val="65444654"/>
    <w:rsid w:val="659C21B8"/>
    <w:rsid w:val="65A8682C"/>
    <w:rsid w:val="65ED22E3"/>
    <w:rsid w:val="66001288"/>
    <w:rsid w:val="668B2D40"/>
    <w:rsid w:val="672C4881"/>
    <w:rsid w:val="67B142A3"/>
    <w:rsid w:val="686E49BF"/>
    <w:rsid w:val="68921432"/>
    <w:rsid w:val="697B5E04"/>
    <w:rsid w:val="698C17C3"/>
    <w:rsid w:val="698F76B3"/>
    <w:rsid w:val="69AA2CB2"/>
    <w:rsid w:val="6A5A5589"/>
    <w:rsid w:val="6B122D7F"/>
    <w:rsid w:val="6B147867"/>
    <w:rsid w:val="6B1F156D"/>
    <w:rsid w:val="6B521312"/>
    <w:rsid w:val="6BC30835"/>
    <w:rsid w:val="6C243532"/>
    <w:rsid w:val="6C367C28"/>
    <w:rsid w:val="6C6C7777"/>
    <w:rsid w:val="6D4E740D"/>
    <w:rsid w:val="6DA550E8"/>
    <w:rsid w:val="6E3663FB"/>
    <w:rsid w:val="6F265A2B"/>
    <w:rsid w:val="70005D9D"/>
    <w:rsid w:val="702526C1"/>
    <w:rsid w:val="709F198F"/>
    <w:rsid w:val="70F40746"/>
    <w:rsid w:val="715057FA"/>
    <w:rsid w:val="71800C9B"/>
    <w:rsid w:val="71836282"/>
    <w:rsid w:val="719944E7"/>
    <w:rsid w:val="71B902EB"/>
    <w:rsid w:val="72C453C9"/>
    <w:rsid w:val="734847AE"/>
    <w:rsid w:val="73614861"/>
    <w:rsid w:val="73D259A3"/>
    <w:rsid w:val="73D4221C"/>
    <w:rsid w:val="73E52AB7"/>
    <w:rsid w:val="73F40F9E"/>
    <w:rsid w:val="74432D5D"/>
    <w:rsid w:val="74604B19"/>
    <w:rsid w:val="746B62B3"/>
    <w:rsid w:val="74A31642"/>
    <w:rsid w:val="763B63E2"/>
    <w:rsid w:val="76537D6C"/>
    <w:rsid w:val="769D3F2E"/>
    <w:rsid w:val="77163481"/>
    <w:rsid w:val="774E2626"/>
    <w:rsid w:val="77A011E7"/>
    <w:rsid w:val="77A12E8A"/>
    <w:rsid w:val="77EB7EBC"/>
    <w:rsid w:val="788F56D4"/>
    <w:rsid w:val="78BC0E29"/>
    <w:rsid w:val="799D76D6"/>
    <w:rsid w:val="79A33FB9"/>
    <w:rsid w:val="79B50FFE"/>
    <w:rsid w:val="79D10BD1"/>
    <w:rsid w:val="79F858D1"/>
    <w:rsid w:val="7A315FA2"/>
    <w:rsid w:val="7A85350B"/>
    <w:rsid w:val="7ACE4BC3"/>
    <w:rsid w:val="7B3F2E83"/>
    <w:rsid w:val="7B6E5397"/>
    <w:rsid w:val="7B790B46"/>
    <w:rsid w:val="7B7E37F8"/>
    <w:rsid w:val="7B961691"/>
    <w:rsid w:val="7C28367E"/>
    <w:rsid w:val="7CBA2C55"/>
    <w:rsid w:val="7CFD25D5"/>
    <w:rsid w:val="7D045613"/>
    <w:rsid w:val="7D4C6582"/>
    <w:rsid w:val="7DF33EE8"/>
    <w:rsid w:val="7E137526"/>
    <w:rsid w:val="7E392205"/>
    <w:rsid w:val="7EAC3654"/>
    <w:rsid w:val="7F36467E"/>
    <w:rsid w:val="7F783474"/>
    <w:rsid w:val="7FB6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qFormat="1" w:uiPriority="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1"/>
    <w:pPr>
      <w:spacing w:before="1"/>
      <w:ind w:left="826"/>
      <w:outlineLvl w:val="0"/>
    </w:pPr>
    <w:rPr>
      <w:rFonts w:eastAsia="Times New Roman"/>
      <w:b/>
      <w:bCs/>
      <w:sz w:val="24"/>
      <w:szCs w:val="24"/>
    </w:rPr>
  </w:style>
  <w:style w:type="paragraph" w:styleId="3">
    <w:name w:val="heading 2"/>
    <w:basedOn w:val="1"/>
    <w:next w:val="1"/>
    <w:unhideWhenUsed/>
    <w:qFormat/>
    <w:uiPriority w:val="0"/>
    <w:pPr>
      <w:spacing w:beforeAutospacing="1" w:afterAutospacing="1"/>
      <w:jc w:val="left"/>
      <w:outlineLvl w:val="1"/>
    </w:pPr>
    <w:rPr>
      <w:rFonts w:hint="eastAsia" w:ascii="宋体" w:hAnsi="宋体"/>
      <w:b/>
      <w:kern w:val="0"/>
      <w:sz w:val="36"/>
      <w:szCs w:val="36"/>
    </w:rPr>
  </w:style>
  <w:style w:type="paragraph" w:styleId="4">
    <w:name w:val="heading 3"/>
    <w:basedOn w:val="1"/>
    <w:next w:val="1"/>
    <w:unhideWhenUsed/>
    <w:qFormat/>
    <w:uiPriority w:val="0"/>
    <w:pPr>
      <w:keepNext/>
      <w:keepLines/>
      <w:spacing w:beforeLines="50" w:line="360" w:lineRule="auto"/>
      <w:outlineLvl w:val="2"/>
    </w:pPr>
    <w:rPr>
      <w:rFonts w:eastAsia="黑体" w:asciiTheme="majorHAnsi" w:hAnsiTheme="majorHAnsi" w:cstheme="majorBidi"/>
      <w:bC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440" w:lineRule="exact"/>
      <w:ind w:firstLine="420" w:firstLineChars="200"/>
    </w:pPr>
    <w:rPr>
      <w:sz w:val="24"/>
    </w:rPr>
  </w:style>
  <w:style w:type="paragraph" w:styleId="6">
    <w:name w:val="annotation text"/>
    <w:basedOn w:val="1"/>
    <w:link w:val="34"/>
    <w:qFormat/>
    <w:uiPriority w:val="0"/>
    <w:pPr>
      <w:jc w:val="left"/>
    </w:pPr>
  </w:style>
  <w:style w:type="paragraph" w:styleId="7">
    <w:name w:val="Body Text"/>
    <w:basedOn w:val="1"/>
    <w:next w:val="8"/>
    <w:qFormat/>
    <w:uiPriority w:val="1"/>
    <w:pPr>
      <w:ind w:left="118"/>
    </w:pPr>
    <w:rPr>
      <w:rFonts w:eastAsia="Times New Roman"/>
      <w:sz w:val="24"/>
      <w:szCs w:val="24"/>
    </w:rPr>
  </w:style>
  <w:style w:type="paragraph" w:styleId="8">
    <w:name w:val="Body Text 2"/>
    <w:basedOn w:val="1"/>
    <w:unhideWhenUsed/>
    <w:qFormat/>
    <w:uiPriority w:val="99"/>
    <w:pPr>
      <w:widowControl/>
      <w:spacing w:after="120" w:line="480" w:lineRule="auto"/>
    </w:pPr>
    <w:rPr>
      <w:rFonts w:ascii="Calibri" w:hAnsi="Calibri" w:eastAsia="Calibri"/>
      <w:lang w:val="ru-RU"/>
    </w:rPr>
  </w:style>
  <w:style w:type="paragraph" w:styleId="9">
    <w:name w:val="Body Text Indent"/>
    <w:basedOn w:val="1"/>
    <w:next w:val="1"/>
    <w:qFormat/>
    <w:uiPriority w:val="0"/>
    <w:pPr>
      <w:spacing w:after="120"/>
      <w:ind w:left="420" w:leftChars="200"/>
    </w:pPr>
  </w:style>
  <w:style w:type="paragraph" w:styleId="10">
    <w:name w:val="Plain Text"/>
    <w:basedOn w:val="1"/>
    <w:qFormat/>
    <w:uiPriority w:val="0"/>
    <w:rPr>
      <w:rFonts w:ascii="宋体" w:hAnsi="Courier New" w:cs="Courier New"/>
      <w:szCs w:val="21"/>
    </w:rPr>
  </w:style>
  <w:style w:type="paragraph" w:styleId="11">
    <w:name w:val="Balloon Text"/>
    <w:basedOn w:val="1"/>
    <w:link w:val="35"/>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style>
  <w:style w:type="paragraph" w:styleId="15">
    <w:name w:val="List"/>
    <w:basedOn w:val="1"/>
    <w:qFormat/>
    <w:uiPriority w:val="0"/>
    <w:pPr>
      <w:ind w:left="200" w:hanging="200" w:hangingChars="200"/>
    </w:pPr>
    <w:rPr>
      <w:rFonts w:ascii="Arial" w:hAnsi="Arial" w:eastAsiaTheme="minorEastAsia" w:cstheme="minorBidi"/>
      <w:kern w:val="0"/>
      <w:sz w:val="24"/>
      <w:szCs w:val="22"/>
    </w:rPr>
  </w:style>
  <w:style w:type="paragraph" w:styleId="16">
    <w:name w:val="Body Text Indent 3"/>
    <w:basedOn w:val="1"/>
    <w:semiHidden/>
    <w:unhideWhenUsed/>
    <w:qFormat/>
    <w:uiPriority w:val="0"/>
    <w:pPr>
      <w:ind w:firstLine="720"/>
      <w:jc w:val="both"/>
    </w:pPr>
    <w:rPr>
      <w:sz w:val="20"/>
      <w:szCs w:val="20"/>
    </w:rPr>
  </w:style>
  <w:style w:type="paragraph" w:styleId="17">
    <w:name w:val="Normal (Web)"/>
    <w:basedOn w:val="1"/>
    <w:qFormat/>
    <w:uiPriority w:val="99"/>
    <w:pPr>
      <w:widowControl/>
      <w:spacing w:before="100" w:beforeAutospacing="1" w:after="100" w:afterAutospacing="1"/>
    </w:pPr>
    <w:rPr>
      <w:sz w:val="24"/>
      <w:szCs w:val="24"/>
      <w:lang w:val="ru-RU" w:eastAsia="ru-RU"/>
    </w:rPr>
  </w:style>
  <w:style w:type="paragraph" w:styleId="18">
    <w:name w:val="Body Text First Indent"/>
    <w:basedOn w:val="7"/>
    <w:next w:val="1"/>
    <w:unhideWhenUsed/>
    <w:qFormat/>
    <w:uiPriority w:val="0"/>
    <w:pPr>
      <w:ind w:firstLine="420" w:firstLineChars="100"/>
    </w:pPr>
    <w:rPr>
      <w:sz w:val="21"/>
    </w:rPr>
  </w:style>
  <w:style w:type="paragraph" w:styleId="19">
    <w:name w:val="Body Text First Indent 2"/>
    <w:basedOn w:val="9"/>
    <w:next w:val="1"/>
    <w:qFormat/>
    <w:uiPriority w:val="0"/>
    <w:pPr>
      <w:ind w:firstLine="640" w:firstLineChars="200"/>
    </w:pPr>
    <w:rPr>
      <w:rFonts w:hint="eastAsia" w:ascii="宋体" w:hAnsi="宋体"/>
    </w:rPr>
  </w:style>
  <w:style w:type="table" w:styleId="21">
    <w:name w:val="Table Grid"/>
    <w:basedOn w:val="20"/>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Hyperlink"/>
    <w:basedOn w:val="22"/>
    <w:unhideWhenUsed/>
    <w:qFormat/>
    <w:uiPriority w:val="0"/>
    <w:rPr>
      <w:color w:val="0563C1" w:themeColor="hyperlink"/>
      <w:u w:val="single"/>
      <w14:textFill>
        <w14:solidFill>
          <w14:schemeClr w14:val="hlink"/>
        </w14:solidFill>
      </w14:textFill>
    </w:rPr>
  </w:style>
  <w:style w:type="character" w:styleId="25">
    <w:name w:val="annotation reference"/>
    <w:basedOn w:val="22"/>
    <w:qFormat/>
    <w:uiPriority w:val="0"/>
    <w:rPr>
      <w:sz w:val="21"/>
      <w:szCs w:val="21"/>
    </w:rPr>
  </w:style>
  <w:style w:type="paragraph" w:customStyle="1" w:styleId="26">
    <w:name w:val="正文缩进1"/>
    <w:basedOn w:val="1"/>
    <w:qFormat/>
    <w:uiPriority w:val="0"/>
    <w:pPr>
      <w:ind w:firstLine="420" w:firstLineChars="200"/>
    </w:pPr>
    <w:rPr>
      <w:szCs w:val="22"/>
    </w:rPr>
  </w:style>
  <w:style w:type="paragraph" w:customStyle="1" w:styleId="27">
    <w:name w:val="Table Text"/>
    <w:basedOn w:val="1"/>
    <w:semiHidden/>
    <w:qFormat/>
    <w:uiPriority w:val="0"/>
    <w:rPr>
      <w:rFonts w:ascii="宋体" w:hAnsi="宋体" w:cs="宋体"/>
      <w:sz w:val="28"/>
      <w:szCs w:val="28"/>
      <w:lang w:eastAsia="en-US"/>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无间隔1"/>
    <w:qFormat/>
    <w:uiPriority w:val="0"/>
    <w:pPr>
      <w:adjustRightInd w:val="0"/>
      <w:snapToGrid w:val="0"/>
      <w:spacing w:after="160" w:line="259" w:lineRule="auto"/>
    </w:pPr>
    <w:rPr>
      <w:rFonts w:ascii="Calibri" w:hAnsi="Calibri" w:eastAsia="宋体" w:cs="Times New Roman"/>
      <w:sz w:val="22"/>
      <w:szCs w:val="22"/>
      <w:lang w:val="en-US" w:eastAsia="zh-CN" w:bidi="ar-SA"/>
    </w:rPr>
  </w:style>
  <w:style w:type="paragraph" w:customStyle="1" w:styleId="30">
    <w:name w:val="引言二级条标题"/>
    <w:basedOn w:val="31"/>
    <w:next w:val="32"/>
    <w:qFormat/>
    <w:uiPriority w:val="0"/>
    <w:pPr>
      <w:tabs>
        <w:tab w:val="left" w:pos="900"/>
      </w:tabs>
      <w:ind w:left="0" w:firstLine="0"/>
    </w:pPr>
  </w:style>
  <w:style w:type="paragraph" w:customStyle="1" w:styleId="31">
    <w:name w:val="引言一级条标题"/>
    <w:basedOn w:val="1"/>
    <w:next w:val="32"/>
    <w:qFormat/>
    <w:uiPriority w:val="0"/>
    <w:pPr>
      <w:tabs>
        <w:tab w:val="left" w:pos="900"/>
      </w:tabs>
      <w:ind w:left="900" w:hanging="900"/>
    </w:pPr>
    <w:rPr>
      <w:rFonts w:eastAsia="黑体"/>
      <w:b/>
      <w:szCs w:val="24"/>
    </w:rPr>
  </w:style>
  <w:style w:type="paragraph" w:customStyle="1" w:styleId="32">
    <w:name w:val="段"/>
    <w:basedOn w:val="1"/>
    <w:qFormat/>
    <w:uiPriority w:val="0"/>
    <w:pPr>
      <w:ind w:firstLine="200"/>
    </w:pPr>
    <w:rPr>
      <w:rFonts w:ascii="宋体" w:hAnsi="宋体" w:cs="宋体"/>
      <w:szCs w:val="21"/>
    </w:rPr>
  </w:style>
  <w:style w:type="paragraph" w:styleId="33">
    <w:name w:val="List Paragraph"/>
    <w:basedOn w:val="1"/>
    <w:qFormat/>
    <w:uiPriority w:val="34"/>
    <w:pPr>
      <w:ind w:left="118" w:firstLine="567"/>
    </w:pPr>
    <w:rPr>
      <w:rFonts w:eastAsia="Times New Roman"/>
    </w:rPr>
  </w:style>
  <w:style w:type="character" w:customStyle="1" w:styleId="34">
    <w:name w:val="批注文字 字符"/>
    <w:basedOn w:val="22"/>
    <w:link w:val="6"/>
    <w:qFormat/>
    <w:uiPriority w:val="0"/>
    <w:rPr>
      <w:kern w:val="2"/>
      <w:sz w:val="21"/>
    </w:rPr>
  </w:style>
  <w:style w:type="character" w:customStyle="1" w:styleId="35">
    <w:name w:val="批注框文本 字符"/>
    <w:basedOn w:val="22"/>
    <w:link w:val="11"/>
    <w:qFormat/>
    <w:uiPriority w:val="0"/>
    <w:rPr>
      <w:kern w:val="2"/>
      <w:sz w:val="18"/>
      <w:szCs w:val="18"/>
    </w:rPr>
  </w:style>
  <w:style w:type="character" w:customStyle="1" w:styleId="36">
    <w:name w:val="change"/>
    <w:basedOn w:val="22"/>
    <w:qFormat/>
    <w:uiPriority w:val="0"/>
  </w:style>
  <w:style w:type="character" w:customStyle="1" w:styleId="37">
    <w:name w:val="未处理的提及1"/>
    <w:basedOn w:val="22"/>
    <w:semiHidden/>
    <w:unhideWhenUsed/>
    <w:qFormat/>
    <w:uiPriority w:val="99"/>
    <w:rPr>
      <w:color w:val="605E5C"/>
      <w:shd w:val="clear" w:color="auto" w:fill="E1DFDD"/>
    </w:rPr>
  </w:style>
  <w:style w:type="paragraph" w:customStyle="1" w:styleId="38">
    <w:name w:val="WPSOffice手动目录 1"/>
    <w:qFormat/>
    <w:uiPriority w:val="0"/>
    <w:pPr>
      <w:spacing w:after="160" w:line="259" w:lineRule="auto"/>
    </w:pPr>
    <w:rPr>
      <w:rFonts w:asciiTheme="minorHAnsi" w:hAnsiTheme="minorHAnsi" w:eastAsiaTheme="minorEastAsia" w:cstheme="minorBidi"/>
      <w:lang w:val="ru-RU" w:eastAsia="zh-CN" w:bidi="ar-SA"/>
    </w:rPr>
  </w:style>
  <w:style w:type="paragraph" w:customStyle="1" w:styleId="39">
    <w:name w:val="无间隔2"/>
    <w:qFormat/>
    <w:uiPriority w:val="1"/>
    <w:pPr>
      <w:widowControl w:val="0"/>
      <w:jc w:val="both"/>
    </w:pPr>
    <w:rPr>
      <w:rFonts w:ascii="Calibri" w:hAnsi="Calibri" w:eastAsia="宋体" w:cs="Times New Roman"/>
      <w:kern w:val="2"/>
      <w:sz w:val="21"/>
      <w:szCs w:val="22"/>
      <w:lang w:val="en-US" w:eastAsia="zh-CN" w:bidi="ar-SA"/>
    </w:rPr>
  </w:style>
  <w:style w:type="paragraph" w:customStyle="1" w:styleId="40">
    <w:name w:val="三级条标题"/>
    <w:basedOn w:val="41"/>
    <w:next w:val="32"/>
    <w:qFormat/>
    <w:uiPriority w:val="0"/>
    <w:pPr>
      <w:numPr>
        <w:ilvl w:val="4"/>
        <w:numId w:val="1"/>
      </w:numPr>
      <w:tabs>
        <w:tab w:val="left" w:pos="945"/>
        <w:tab w:val="clear" w:pos="1506"/>
      </w:tabs>
      <w:spacing w:before="0" w:beforeLines="0" w:after="0" w:afterLines="0"/>
      <w:jc w:val="both"/>
      <w:outlineLvl w:val="4"/>
    </w:pPr>
    <w:rPr>
      <w:b/>
      <w:szCs w:val="20"/>
    </w:rPr>
  </w:style>
  <w:style w:type="paragraph" w:customStyle="1" w:styleId="41">
    <w:name w:val="二级条标题"/>
    <w:basedOn w:val="42"/>
    <w:next w:val="32"/>
    <w:qFormat/>
    <w:uiPriority w:val="0"/>
    <w:pPr>
      <w:numPr>
        <w:ilvl w:val="2"/>
      </w:numPr>
      <w:spacing w:before="50" w:after="50"/>
      <w:outlineLvl w:val="3"/>
    </w:pPr>
  </w:style>
  <w:style w:type="paragraph" w:customStyle="1" w:styleId="42">
    <w:name w:val="一级条标题"/>
    <w:next w:val="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3">
    <w:name w:val="无间隔4"/>
    <w:qFormat/>
    <w:uiPriority w:val="0"/>
    <w:rPr>
      <w:rFonts w:asciiTheme="minorHAnsi" w:hAnsiTheme="minorHAnsi" w:eastAsiaTheme="minorEastAsia" w:cstheme="minorBidi"/>
      <w:sz w:val="22"/>
      <w:szCs w:val="22"/>
      <w:lang w:val="en-US" w:eastAsia="en-US" w:bidi="en-US"/>
    </w:rPr>
  </w:style>
  <w:style w:type="paragraph" w:customStyle="1" w:styleId="44">
    <w:name w:val="无间隔21"/>
    <w:basedOn w:val="1"/>
    <w:qFormat/>
    <w:uiPriority w:val="0"/>
    <w:pPr>
      <w:widowControl/>
      <w:adjustRightInd w:val="0"/>
      <w:snapToGrid w:val="0"/>
      <w:jc w:val="left"/>
    </w:pPr>
    <w:rPr>
      <w:rFonts w:ascii="Calibri" w:hAnsi="Calibri"/>
      <w:kern w:val="0"/>
      <w:sz w:val="22"/>
      <w:szCs w:val="22"/>
    </w:rPr>
  </w:style>
  <w:style w:type="paragraph" w:customStyle="1" w:styleId="45">
    <w:name w:val="Table Paragraph"/>
    <w:basedOn w:val="1"/>
    <w:qFormat/>
    <w:uiPriority w:val="0"/>
    <w:pPr>
      <w:widowControl/>
      <w:adjustRightInd w:val="0"/>
      <w:snapToGrid w:val="0"/>
      <w:spacing w:line="440" w:lineRule="exact"/>
      <w:ind w:firstLine="200" w:firstLineChars="200"/>
      <w:jc w:val="left"/>
    </w:pPr>
    <w:rPr>
      <w:rFonts w:ascii="宋体" w:hAnsi="宋体" w:cs="宋体"/>
      <w:kern w:val="0"/>
      <w:sz w:val="24"/>
      <w:szCs w:val="22"/>
      <w:lang w:eastAsia="en-US"/>
    </w:rPr>
  </w:style>
  <w:style w:type="paragraph" w:customStyle="1" w:styleId="46">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B6E62-171C-47AF-ADA6-12023B85066E}">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37</Pages>
  <Words>1674</Words>
  <Characters>5227</Characters>
  <Lines>72</Lines>
  <Paragraphs>20</Paragraphs>
  <TotalTime>0</TotalTime>
  <ScaleCrop>false</ScaleCrop>
  <LinksUpToDate>false</LinksUpToDate>
  <CharactersWithSpaces>5820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2025-04-04T10:40:00Z</dcterms:created>
  <dc:creator>86138</dc:creator>
  <cp:lastModifiedBy>张效伟</cp:lastModifiedBy>
  <dcterms:modified xsi:type="dcterms:W3CDTF">2025-10-10T02:44:57Z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B2F0E4148BF54DCC9567F8588F88D975_13</vt:lpwstr>
  </property>
  <property fmtid="{D5CDD505-2E9C-101B-9397-08002B2CF9AE}" pid="4" name="KSOTemplateDocerSaveRecord">
    <vt:lpwstr>eyJoZGlkIjoiZDI5YTU0MTczOTlkMDRiYzJkNzlmMTFjODkxZjhiYzUiLCJ1c2VySWQiOiIzNTUwMzY0ODIifQ==</vt:lpwstr>
  </property>
</Properties>
</file>