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48"/>
        <w:jc w:val="both"/>
        <w:rPr>
          <w:rFonts w:ascii="Times New Roman" w:hAnsi="Times New Roman" w:eastAsia="宋体" w:cs="Times New Roman"/>
          <w:b/>
          <w:sz w:val="24"/>
          <w:szCs w:val="24"/>
          <w:highlight w:val="yellow"/>
          <w:lang w:val="ru-RU"/>
        </w:rPr>
      </w:pPr>
    </w:p>
    <w:tbl>
      <w:tblPr>
        <w:tblStyle w:val="38"/>
        <w:tblW w:w="5071"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975"/>
        <w:gridCol w:w="6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center"/>
              <w:rPr>
                <w:rFonts w:eastAsia="楷体"/>
                <w:b/>
                <w:bCs/>
                <w:color w:val="000000" w:themeColor="text1"/>
                <w14:textFill>
                  <w14:solidFill>
                    <w14:schemeClr w14:val="tx1"/>
                  </w14:solidFill>
                </w14:textFill>
              </w:rPr>
            </w:pPr>
            <w:r>
              <w:rPr>
                <w:rFonts w:eastAsia="楷体"/>
              </w:rPr>
              <w:t xml:space="preserve">Номер договора: </w:t>
            </w:r>
            <w:r>
              <w:rPr>
                <w:rFonts w:hint="eastAsia" w:eastAsia="楷体"/>
              </w:rPr>
              <w:t>HDHT-AKTEPC-WZ-2026-02</w:t>
            </w:r>
            <w:r>
              <w:rPr>
                <w:rFonts w:eastAsia="楷体"/>
              </w:rPr>
              <w:br w:type="textWrapping"/>
            </w:r>
            <w:r>
              <w:rPr>
                <w:rFonts w:eastAsia="楷体"/>
                <w:color w:val="auto"/>
                <w:highlight w:val="none"/>
              </w:rPr>
              <w:t xml:space="preserve">Договор на закупку лифтов для производственно-офисного здания проекта </w:t>
            </w:r>
            <w:r>
              <w:rPr>
                <w:rFonts w:eastAsia="楷体"/>
                <w:color w:val="auto"/>
                <w:highlight w:val="none"/>
                <w:lang w:eastAsia="zh-CN"/>
              </w:rPr>
              <w:t>ПГУ (парогазовой установки) мощностью 160 Мв в г.</w:t>
            </w:r>
            <w:r>
              <w:rPr>
                <w:rFonts w:eastAsia="楷体"/>
                <w:color w:val="auto"/>
                <w:highlight w:val="none"/>
              </w:rPr>
              <w:t xml:space="preserve">Актау Мангистауской области </w:t>
            </w:r>
          </w:p>
        </w:tc>
        <w:tc>
          <w:tcPr>
            <w:tcW w:w="2148" w:type="pct"/>
            <w:vAlign w:val="center"/>
          </w:tcPr>
          <w:p>
            <w:pPr>
              <w:adjustRightInd w:val="0"/>
              <w:snapToGrid w:val="0"/>
              <w:spacing w:before="120" w:beforeLines="50" w:line="240" w:lineRule="auto"/>
              <w:jc w:val="right"/>
              <w:rPr>
                <w:rFonts w:ascii="Times New Roman" w:hAnsi="Times New Roman" w:eastAsia="楷体" w:cs="Times New Roman"/>
                <w:b/>
                <w:color w:val="auto"/>
                <w:szCs w:val="24"/>
                <w:lang w:val="ru-RU" w:eastAsia="zh-CN"/>
              </w:rPr>
            </w:pPr>
            <w:r>
              <w:rPr>
                <w:rFonts w:hint="eastAsia" w:ascii="Times New Roman" w:hAnsi="Times New Roman" w:eastAsia="楷体" w:cs="Times New Roman"/>
                <w:b/>
                <w:color w:val="auto"/>
                <w:szCs w:val="24"/>
                <w:lang w:eastAsia="zh-CN"/>
              </w:rPr>
              <w:t>合同编号</w:t>
            </w:r>
            <w:r>
              <w:rPr>
                <w:rFonts w:hint="eastAsia" w:ascii="Times New Roman" w:hAnsi="Times New Roman" w:eastAsia="楷体" w:cs="Times New Roman"/>
                <w:b/>
                <w:color w:val="auto"/>
                <w:szCs w:val="24"/>
                <w:lang w:val="ru-RU" w:eastAsia="zh-CN"/>
              </w:rPr>
              <w:t>：</w:t>
            </w:r>
            <w:bookmarkStart w:id="0" w:name="OLE_LINK6"/>
            <w:r>
              <w:rPr>
                <w:rFonts w:hint="eastAsia" w:ascii="Times New Roman" w:hAnsi="Times New Roman" w:eastAsia="楷体" w:cs="Times New Roman"/>
                <w:b/>
                <w:color w:val="auto"/>
                <w:szCs w:val="24"/>
                <w:lang w:eastAsia="zh-CN"/>
              </w:rPr>
              <w:t>HDHT-AKTEPC-WZ-2026-02</w:t>
            </w:r>
            <w:bookmarkEnd w:id="0"/>
          </w:p>
          <w:p>
            <w:pPr>
              <w:adjustRightInd w:val="0"/>
              <w:snapToGrid w:val="0"/>
              <w:spacing w:before="120" w:beforeLines="50" w:line="240" w:lineRule="auto"/>
              <w:jc w:val="right"/>
              <w:rPr>
                <w:rFonts w:ascii="Times New Roman" w:hAnsi="Times New Roman" w:eastAsia="楷体" w:cs="Times New Roman"/>
                <w:b/>
                <w:color w:val="FF0000"/>
                <w:szCs w:val="24"/>
                <w:lang w:val="ru-RU" w:eastAsia="zh-CN"/>
              </w:rPr>
            </w:pPr>
            <w:r>
              <w:rPr>
                <w:rFonts w:hint="eastAsia" w:ascii="Times New Roman" w:hAnsi="Times New Roman" w:eastAsia="楷体" w:cs="Times New Roman"/>
                <w:b/>
                <w:color w:val="auto"/>
                <w:szCs w:val="24"/>
                <w:lang w:eastAsia="zh-CN"/>
              </w:rPr>
              <w:t>阿克套燃机项目</w:t>
            </w:r>
            <w:r>
              <w:rPr>
                <w:rFonts w:hint="eastAsia" w:ascii="Times New Roman" w:hAnsi="Times New Roman" w:eastAsia="楷体" w:cs="Times New Roman"/>
                <w:b/>
                <w:color w:val="auto"/>
                <w:szCs w:val="24"/>
                <w:lang w:val="en-US" w:eastAsia="zh-CN"/>
              </w:rPr>
              <w:t>办公楼</w:t>
            </w:r>
            <w:r>
              <w:rPr>
                <w:rFonts w:hint="eastAsia" w:ascii="Times New Roman" w:hAnsi="Times New Roman" w:eastAsia="楷体" w:cs="Times New Roman"/>
                <w:b/>
                <w:color w:val="auto"/>
                <w:szCs w:val="24"/>
                <w:lang w:eastAsia="zh-CN"/>
              </w:rPr>
              <w:t>电梯采购合同</w:t>
            </w:r>
          </w:p>
          <w:p>
            <w:pPr>
              <w:pStyle w:val="148"/>
              <w:jc w:val="center"/>
              <w:rPr>
                <w:rFonts w:ascii="Times New Roman" w:hAnsi="Times New Roman" w:eastAsia="楷体" w:cs="Times New Roman"/>
                <w:b/>
                <w:color w:val="auto"/>
                <w:sz w:val="24"/>
                <w:szCs w:val="24"/>
                <w:lang w:val="ru-RU"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auto"/>
              <w:jc w:val="both"/>
              <w:rPr>
                <w:rFonts w:ascii="Times New Roman" w:hAnsi="Times New Roman" w:eastAsia="楷体" w:cs="Times New Roman"/>
                <w:color w:val="000000" w:themeColor="text1"/>
                <w:szCs w:val="28"/>
                <w:lang w:val="ru-RU"/>
                <w14:textFill>
                  <w14:solidFill>
                    <w14:schemeClr w14:val="tx1"/>
                  </w14:solidFill>
                </w14:textFill>
              </w:rPr>
            </w:pPr>
            <w:r>
              <w:rPr>
                <w:rFonts w:ascii="Times New Roman" w:hAnsi="Times New Roman" w:eastAsia="楷体" w:cs="Times New Roman"/>
                <w:color w:val="000000" w:themeColor="text1"/>
                <w:szCs w:val="28"/>
                <w:lang w:val="ru-RU"/>
                <w14:textFill>
                  <w14:solidFill>
                    <w14:schemeClr w14:val="tx1"/>
                  </w14:solidFill>
                </w14:textFill>
              </w:rPr>
              <w:t>Местонахождение: г.Актау,</w:t>
            </w:r>
            <w:r>
              <w:rPr>
                <w:rFonts w:hint="eastAsia" w:ascii="Times New Roman" w:hAnsi="Times New Roman" w:eastAsia="楷体" w:cs="Times New Roman"/>
                <w:color w:val="000000" w:themeColor="text1"/>
                <w:szCs w:val="28"/>
                <w:lang w:val="en-US" w:eastAsia="zh-CN"/>
                <w14:textFill>
                  <w14:solidFill>
                    <w14:schemeClr w14:val="tx1"/>
                  </w14:solidFill>
                </w14:textFill>
              </w:rPr>
              <w:t xml:space="preserve">                                       </w:t>
            </w:r>
            <w:r>
              <w:rPr>
                <w:rFonts w:ascii="Times New Roman" w:hAnsi="Times New Roman" w:cs="Times New Roman"/>
                <w:lang w:val="ru-RU" w:eastAsia="zh-CN"/>
              </w:rPr>
              <w:t>«____»_________20___г</w:t>
            </w:r>
            <w:r>
              <w:rPr>
                <w:rFonts w:ascii="Times New Roman" w:hAnsi="Times New Roman" w:eastAsia="楷体" w:cs="Times New Roman"/>
                <w:color w:val="000000" w:themeColor="text1"/>
                <w:szCs w:val="28"/>
                <w:lang w:val="ru-RU"/>
                <w14:textFill>
                  <w14:solidFill>
                    <w14:schemeClr w14:val="tx1"/>
                  </w14:solidFill>
                </w14:textFill>
              </w:rPr>
              <w:t xml:space="preserve">. </w:t>
            </w:r>
          </w:p>
        </w:tc>
        <w:tc>
          <w:tcPr>
            <w:tcW w:w="2148" w:type="pct"/>
            <w:vAlign w:val="center"/>
          </w:tcPr>
          <w:p>
            <w:pPr>
              <w:pStyle w:val="148"/>
              <w:jc w:val="both"/>
              <w:rPr>
                <w:rFonts w:ascii="Times New Roman" w:hAnsi="Times New Roman" w:eastAsia="楷体" w:cs="Times New Roman"/>
                <w:color w:val="auto"/>
                <w:sz w:val="24"/>
                <w:szCs w:val="28"/>
                <w:lang w:val="ru-RU" w:eastAsia="zh-CN"/>
              </w:rPr>
            </w:pPr>
            <w:r>
              <w:rPr>
                <w:rFonts w:ascii="Times New Roman" w:hAnsi="Times New Roman" w:eastAsia="楷体" w:cs="Times New Roman"/>
                <w:bCs/>
                <w:color w:val="auto"/>
                <w:sz w:val="24"/>
                <w:szCs w:val="24"/>
                <w:lang w:val="ru-RU" w:eastAsia="zh-CN"/>
              </w:rPr>
              <w:t xml:space="preserve">地点：阿克套市     </w:t>
            </w:r>
            <w:r>
              <w:rPr>
                <w:rFonts w:ascii="Times New Roman" w:hAnsi="Times New Roman" w:eastAsia="楷体" w:cs="Times New Roman"/>
                <w:color w:val="auto"/>
                <w:sz w:val="24"/>
                <w:lang w:val="ru-RU" w:eastAsia="zh-CN"/>
              </w:rPr>
              <w:t xml:space="preserve">                              </w:t>
            </w:r>
            <w:r>
              <w:rPr>
                <w:rFonts w:hint="eastAsia" w:ascii="Times New Roman" w:hAnsi="Times New Roman" w:eastAsia="楷体" w:cs="Times New Roman"/>
                <w:color w:val="auto"/>
                <w:sz w:val="24"/>
                <w:lang w:eastAsia="zh-CN"/>
              </w:rPr>
              <w:t xml:space="preserve">  </w:t>
            </w:r>
            <w:r>
              <w:rPr>
                <w:rFonts w:hint="eastAsia" w:ascii="Times New Roman" w:hAnsi="Times New Roman" w:eastAsia="楷体" w:cs="Times New Roman"/>
                <w:color w:val="auto"/>
                <w:sz w:val="24"/>
                <w:lang w:val="en-US" w:eastAsia="zh-CN"/>
              </w:rPr>
              <w:t xml:space="preserve">          </w:t>
            </w:r>
            <w:r>
              <w:rPr>
                <w:rFonts w:ascii="Times New Roman" w:hAnsi="Times New Roman" w:eastAsia="楷体" w:cs="Times New Roman"/>
                <w:bCs/>
                <w:color w:val="auto"/>
                <w:sz w:val="24"/>
                <w:szCs w:val="24"/>
                <w:lang w:eastAsia="zh-CN"/>
              </w:rPr>
              <w:t>年</w:t>
            </w:r>
            <w:r>
              <w:rPr>
                <w:rFonts w:hint="eastAsia" w:ascii="Times New Roman" w:hAnsi="Times New Roman" w:eastAsia="楷体" w:cs="Times New Roman"/>
                <w:bCs/>
                <w:color w:val="auto"/>
                <w:sz w:val="24"/>
                <w:szCs w:val="24"/>
                <w:lang w:eastAsia="zh-CN"/>
              </w:rPr>
              <w:t xml:space="preserve">    </w:t>
            </w:r>
            <w:r>
              <w:rPr>
                <w:rFonts w:ascii="Times New Roman" w:hAnsi="Times New Roman" w:eastAsia="楷体" w:cs="Times New Roman"/>
                <w:bCs/>
                <w:color w:val="auto"/>
                <w:sz w:val="24"/>
                <w:szCs w:val="24"/>
                <w:lang w:eastAsia="zh-CN"/>
              </w:rPr>
              <w:t>月</w:t>
            </w:r>
            <w:r>
              <w:rPr>
                <w:rFonts w:hint="eastAsia" w:ascii="Times New Roman" w:hAnsi="Times New Roman" w:eastAsia="楷体" w:cs="Times New Roman"/>
                <w:bCs/>
                <w:color w:val="auto"/>
                <w:sz w:val="24"/>
                <w:szCs w:val="24"/>
                <w:lang w:eastAsia="zh-CN"/>
              </w:rPr>
              <w:t xml:space="preserve">     </w:t>
            </w:r>
            <w:r>
              <w:rPr>
                <w:rFonts w:ascii="Times New Roman" w:hAnsi="Times New Roman" w:eastAsia="楷体" w:cs="Times New Roman"/>
                <w:bCs/>
                <w:color w:val="auto"/>
                <w:sz w:val="24"/>
                <w:szCs w:val="24"/>
                <w:lang w:eastAsia="zh-CN"/>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rPr>
                <w:rFonts w:eastAsia="楷体"/>
                <w:szCs w:val="28"/>
              </w:rPr>
            </w:pPr>
            <w:r>
              <w:rPr>
                <w:rFonts w:hint="eastAsia" w:eastAsia="楷体"/>
                <w:szCs w:val="28"/>
                <w:u w:val="single"/>
                <w:lang w:val="en-US" w:eastAsia="zh-CN"/>
              </w:rPr>
              <w:t>******</w:t>
            </w:r>
            <w:r>
              <w:rPr>
                <w:rFonts w:eastAsia="楷体"/>
                <w:szCs w:val="28"/>
              </w:rPr>
              <w:t xml:space="preserve">, в лице Генерального директора </w:t>
            </w:r>
            <w:r>
              <w:rPr>
                <w:rFonts w:hint="eastAsia" w:eastAsia="楷体"/>
                <w:szCs w:val="28"/>
                <w:u w:val="single"/>
                <w:lang w:val="en-US" w:eastAsia="zh-CN"/>
              </w:rPr>
              <w:t>******</w:t>
            </w:r>
            <w:r>
              <w:rPr>
                <w:rFonts w:eastAsia="楷体"/>
                <w:szCs w:val="28"/>
              </w:rPr>
              <w:t xml:space="preserve">, действующего на основании Устава, с идентификационным номером (БИН) </w:t>
            </w:r>
            <w:r>
              <w:rPr>
                <w:rFonts w:hint="eastAsia" w:eastAsia="楷体"/>
                <w:szCs w:val="28"/>
                <w:u w:val="single"/>
                <w:lang w:val="en-US" w:eastAsia="zh-CN"/>
              </w:rPr>
              <w:t>******</w:t>
            </w:r>
            <w:r>
              <w:rPr>
                <w:rFonts w:eastAsia="楷体"/>
                <w:szCs w:val="28"/>
              </w:rPr>
              <w:t>, далее именуемое «Покупатель»,</w:t>
            </w:r>
          </w:p>
          <w:p>
            <w:pPr>
              <w:pStyle w:val="34"/>
              <w:rPr>
                <w:rFonts w:eastAsia="楷体"/>
                <w:szCs w:val="28"/>
              </w:rPr>
            </w:pPr>
          </w:p>
          <w:p>
            <w:pPr>
              <w:pStyle w:val="34"/>
              <w:rPr>
                <w:rFonts w:eastAsia="楷体"/>
                <w:szCs w:val="28"/>
              </w:rPr>
            </w:pPr>
            <w:r>
              <w:rPr>
                <w:rFonts w:eastAsia="楷体"/>
                <w:szCs w:val="28"/>
              </w:rPr>
              <w:t>с одной стороны, и</w:t>
            </w:r>
          </w:p>
          <w:p>
            <w:pPr>
              <w:pStyle w:val="34"/>
              <w:rPr>
                <w:rFonts w:eastAsia="楷体"/>
                <w:szCs w:val="28"/>
              </w:rPr>
            </w:pPr>
          </w:p>
          <w:p>
            <w:pPr>
              <w:pStyle w:val="34"/>
              <w:rPr>
                <w:rFonts w:eastAsia="楷体"/>
                <w:b/>
                <w:bCs/>
                <w:szCs w:val="28"/>
                <w:u w:val="single"/>
              </w:rPr>
            </w:pPr>
            <w:r>
              <w:rPr>
                <w:rFonts w:eastAsia="楷体"/>
                <w:szCs w:val="28"/>
                <w:u w:val="single"/>
              </w:rPr>
              <w:t xml:space="preserve">                              , в лице законного представителя                             , действующего на основании устава компании, бизнес-идентификационный номер (</w:t>
            </w:r>
            <w:r>
              <w:rPr>
                <w:rFonts w:eastAsia="楷体"/>
                <w:szCs w:val="28"/>
                <w:u w:val="single"/>
                <w:lang w:val="en-US"/>
              </w:rPr>
              <w:t>BIN</w:t>
            </w:r>
            <w:r>
              <w:rPr>
                <w:rFonts w:eastAsia="楷体"/>
                <w:szCs w:val="28"/>
                <w:u w:val="single"/>
              </w:rPr>
              <w:t xml:space="preserve">):                          </w:t>
            </w:r>
            <w:r>
              <w:rPr>
                <w:rFonts w:eastAsia="楷体"/>
                <w:b/>
                <w:bCs/>
                <w:szCs w:val="28"/>
                <w:u w:val="single"/>
              </w:rPr>
              <w:t>, далее именуемое «Продавец»,</w:t>
            </w:r>
          </w:p>
          <w:p>
            <w:pPr>
              <w:pStyle w:val="34"/>
              <w:rPr>
                <w:rFonts w:eastAsia="楷体"/>
                <w:szCs w:val="28"/>
              </w:rPr>
            </w:pPr>
          </w:p>
          <w:p>
            <w:pPr>
              <w:pStyle w:val="34"/>
              <w:rPr>
                <w:rFonts w:eastAsia="楷体"/>
                <w:szCs w:val="28"/>
                <w:highlight w:val="cyan"/>
              </w:rPr>
            </w:pPr>
            <w:r>
              <w:rPr>
                <w:rFonts w:eastAsia="楷体"/>
                <w:szCs w:val="28"/>
              </w:rPr>
              <w:t>с другой стороны, вместе именуемые «Стороны», заключили настоящий Договор (далее – «Договор») о нижеследующем:</w:t>
            </w:r>
          </w:p>
        </w:tc>
        <w:tc>
          <w:tcPr>
            <w:tcW w:w="2148" w:type="pct"/>
            <w:vAlign w:val="center"/>
          </w:tcPr>
          <w:p>
            <w:pPr>
              <w:adjustRightInd w:val="0"/>
              <w:snapToGrid w:val="0"/>
              <w:spacing w:before="120" w:beforeLines="50"/>
              <w:rPr>
                <w:rFonts w:ascii="Times New Roman" w:hAnsi="Times New Roman" w:eastAsia="楷体" w:cs="Times New Roman"/>
                <w:bCs/>
                <w:color w:val="auto"/>
                <w:szCs w:val="24"/>
                <w:lang w:val="ru-RU" w:eastAsia="zh-CN"/>
              </w:rPr>
            </w:pPr>
            <w:r>
              <w:rPr>
                <w:rFonts w:hint="eastAsia" w:ascii="Times New Roman" w:hAnsi="Times New Roman" w:eastAsia="楷体" w:cs="Times New Roman"/>
                <w:bCs/>
                <w:color w:val="auto"/>
                <w:szCs w:val="24"/>
                <w:u w:val="single"/>
                <w:lang w:val="en-US" w:eastAsia="zh-CN"/>
              </w:rPr>
              <w:t>******</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法定代表人为总经理</w:t>
            </w:r>
            <w:r>
              <w:rPr>
                <w:rFonts w:hint="eastAsia" w:ascii="Times New Roman" w:hAnsi="Times New Roman" w:eastAsia="楷体" w:cs="Times New Roman"/>
                <w:bCs/>
                <w:color w:val="auto"/>
                <w:szCs w:val="24"/>
                <w:u w:val="single"/>
                <w:lang w:val="en-US" w:eastAsia="zh-CN"/>
              </w:rPr>
              <w:t>******</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依据公司章程开展活动</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企业识别号</w:t>
            </w:r>
            <w:r>
              <w:rPr>
                <w:rFonts w:hint="eastAsia"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BIN</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u w:val="single"/>
                <w:lang w:val="en-US" w:eastAsia="zh-CN"/>
              </w:rPr>
              <w:t>******</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以下简称</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买方</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val="ru-RU" w:eastAsia="zh-CN"/>
              </w:rPr>
              <w:t xml:space="preserve">  </w:t>
            </w:r>
          </w:p>
          <w:p>
            <w:pPr>
              <w:adjustRightInd w:val="0"/>
              <w:snapToGrid w:val="0"/>
              <w:spacing w:before="120" w:beforeLines="50"/>
              <w:rPr>
                <w:rFonts w:ascii="Times New Roman" w:hAnsi="Times New Roman" w:eastAsia="楷体" w:cs="Times New Roman"/>
                <w:bCs/>
                <w:color w:val="auto"/>
                <w:szCs w:val="24"/>
                <w:lang w:val="ru-RU" w:eastAsia="zh-CN"/>
              </w:rPr>
            </w:pPr>
            <w:r>
              <w:rPr>
                <w:rFonts w:hint="eastAsia" w:ascii="Times New Roman" w:hAnsi="Times New Roman" w:eastAsia="楷体" w:cs="Times New Roman"/>
                <w:bCs/>
                <w:color w:val="auto"/>
                <w:szCs w:val="24"/>
                <w:lang w:eastAsia="zh-CN"/>
              </w:rPr>
              <w:t>与</w:t>
            </w:r>
            <w:r>
              <w:rPr>
                <w:rFonts w:hint="eastAsia" w:ascii="Times New Roman" w:hAnsi="Times New Roman" w:eastAsia="楷体" w:cs="Times New Roman"/>
                <w:b/>
                <w:bCs/>
                <w:color w:val="auto"/>
                <w:u w:val="single"/>
                <w:lang w:eastAsia="zh-CN"/>
              </w:rPr>
              <w:t>******</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法定代表人为</w:t>
            </w:r>
            <w:r>
              <w:rPr>
                <w:rFonts w:hint="eastAsia"/>
                <w:b/>
                <w:color w:val="auto"/>
                <w:szCs w:val="21"/>
                <w:u w:val="single"/>
                <w:lang w:eastAsia="zh-CN"/>
              </w:rPr>
              <w:t>******</w:t>
            </w:r>
            <w:r>
              <w:rPr>
                <w:rFonts w:ascii="Times New Roman" w:hAnsi="Times New Roman" w:eastAsia="楷体" w:cs="Times New Roman"/>
                <w:bCs/>
                <w:color w:val="auto"/>
                <w:szCs w:val="24"/>
                <w:lang w:eastAsia="zh-CN"/>
              </w:rPr>
              <w:t xml:space="preserve"> </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依据公司章程开展活动</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企业识别号</w:t>
            </w:r>
            <w:r>
              <w:rPr>
                <w:rFonts w:hint="eastAsia"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BIN</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u w:val="single"/>
                <w:lang w:eastAsia="zh-CN"/>
              </w:rPr>
              <w:t>******</w:t>
            </w:r>
            <w:r>
              <w:rPr>
                <w:rFonts w:eastAsia="楷体"/>
                <w:color w:val="auto"/>
                <w:lang w:val="ru-RU" w:eastAsia="zh-CN"/>
              </w:rPr>
              <w:t xml:space="preserve">  </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以下简称</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卖方</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val="ru-RU" w:eastAsia="zh-CN"/>
              </w:rPr>
              <w:t xml:space="preserve"> </w:t>
            </w:r>
          </w:p>
          <w:p>
            <w:pPr>
              <w:adjustRightInd w:val="0"/>
              <w:snapToGrid w:val="0"/>
              <w:spacing w:before="120" w:beforeLines="50"/>
              <w:rPr>
                <w:rFonts w:ascii="Times New Roman" w:hAnsi="Times New Roman" w:eastAsia="楷体" w:cs="Times New Roman"/>
                <w:color w:val="auto"/>
                <w:szCs w:val="28"/>
                <w:lang w:val="ru-RU" w:eastAsia="zh-CN"/>
              </w:rPr>
            </w:pPr>
            <w:r>
              <w:rPr>
                <w:rFonts w:hint="eastAsia" w:ascii="Times New Roman" w:hAnsi="Times New Roman" w:eastAsia="楷体" w:cs="Times New Roman"/>
                <w:bCs/>
                <w:color w:val="auto"/>
                <w:szCs w:val="24"/>
                <w:lang w:eastAsia="zh-CN"/>
              </w:rPr>
              <w:t>双方合称为</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双方</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于本日签订本合同</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以下简称</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合同</w:t>
            </w:r>
            <w:r>
              <w:rPr>
                <w:rFonts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val="ru-RU" w:eastAsia="zh-CN"/>
              </w:rPr>
              <w:t>），</w:t>
            </w:r>
            <w:r>
              <w:rPr>
                <w:rFonts w:hint="eastAsia" w:ascii="Times New Roman" w:hAnsi="Times New Roman" w:eastAsia="楷体" w:cs="Times New Roman"/>
                <w:bCs/>
                <w:color w:val="auto"/>
                <w:szCs w:val="24"/>
                <w:lang w:eastAsia="zh-CN"/>
              </w:rPr>
              <w:t>内容如下</w:t>
            </w:r>
            <w:r>
              <w:rPr>
                <w:rFonts w:hint="eastAsia" w:ascii="Times New Roman" w:hAnsi="Times New Roman" w:eastAsia="楷体" w:cs="Times New Roman"/>
                <w:bCs/>
                <w:color w:val="auto"/>
                <w:szCs w:val="24"/>
                <w:lang w:val="ru-RU"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360" w:lineRule="auto"/>
              <w:jc w:val="both"/>
              <w:rPr>
                <w:rFonts w:ascii="Times New Roman" w:hAnsi="Times New Roman" w:eastAsia="楷体" w:cs="Times New Roman"/>
                <w:b/>
                <w:color w:val="000000" w:themeColor="text1"/>
                <w:szCs w:val="28"/>
                <w:lang w:val="ru-RU"/>
                <w14:textFill>
                  <w14:solidFill>
                    <w14:schemeClr w14:val="tx1"/>
                  </w14:solidFill>
                </w14:textFill>
              </w:rPr>
            </w:pPr>
            <w:bookmarkStart w:id="1" w:name="1040487352"/>
            <w:r>
              <w:rPr>
                <w:rFonts w:ascii="Times New Roman" w:hAnsi="Times New Roman" w:eastAsia="楷体" w:cs="Times New Roman"/>
                <w:b/>
                <w:color w:val="000000"/>
              </w:rPr>
              <w:t>1. Предмет Договора</w:t>
            </w:r>
            <w:bookmarkEnd w:id="1"/>
          </w:p>
        </w:tc>
        <w:tc>
          <w:tcPr>
            <w:tcW w:w="2148" w:type="pct"/>
            <w:vAlign w:val="center"/>
          </w:tcPr>
          <w:p>
            <w:pPr>
              <w:adjustRightInd w:val="0"/>
              <w:snapToGrid w:val="0"/>
              <w:spacing w:after="0" w:line="360" w:lineRule="auto"/>
              <w:rPr>
                <w:rFonts w:ascii="Times New Roman" w:hAnsi="Times New Roman" w:eastAsia="楷体" w:cs="Times New Roman"/>
                <w:b/>
                <w:color w:val="auto"/>
                <w:sz w:val="28"/>
                <w:szCs w:val="28"/>
                <w:lang w:val="ru-RU"/>
              </w:rPr>
            </w:pPr>
            <w:r>
              <w:rPr>
                <w:rFonts w:ascii="Times New Roman" w:hAnsi="Times New Roman" w:eastAsia="楷体" w:cs="Times New Roman"/>
                <w:b/>
                <w:bCs/>
                <w:color w:val="auto"/>
                <w:szCs w:val="24"/>
                <w:lang w:eastAsia="zh-CN"/>
              </w:rPr>
              <w:t>1. 合同标的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851" w:type="pct"/>
          </w:tcPr>
          <w:p>
            <w:pPr>
              <w:spacing w:before="120" w:after="120" w:line="240" w:lineRule="exact"/>
              <w:jc w:val="both"/>
              <w:rPr>
                <w:rFonts w:ascii="Times New Roman" w:hAnsi="Times New Roman" w:eastAsia="楷体" w:cs="Times New Roman"/>
                <w:color w:val="000000" w:themeColor="text1"/>
                <w:szCs w:val="28"/>
                <w:lang w:val="ru-RU" w:eastAsia="zh-CN"/>
                <w14:textFill>
                  <w14:solidFill>
                    <w14:schemeClr w14:val="tx1"/>
                  </w14:solidFill>
                </w14:textFill>
              </w:rPr>
            </w:pPr>
            <w:r>
              <w:rPr>
                <w:rFonts w:ascii="Times New Roman" w:hAnsi="Times New Roman" w:eastAsia="楷体" w:cs="Times New Roman"/>
                <w:lang w:val="ru-RU"/>
              </w:rPr>
              <w:t>1.1 В соответствии с условиями настоящего договора продавец обязуется осуществить поставку товара, предусмотренного настоящим договором (далее — «Товар»), выполнить его монтаж, пуско-наладочные работы, оформление разрешительной (приемочной) документации, а также обеспечить техническое обслуживание и ремонт в течение одного года. Покупатель обязуется принять и осуществить приемку товара, а также своевременно оплатить стоимость товара в порядке и в сроки, установленные настоящим договором. Товар должен быть доставлен на строительную (проектную) площадку покупателя, при этом транспортные расходы включены в стоимость товара.</w:t>
            </w:r>
          </w:p>
        </w:tc>
        <w:tc>
          <w:tcPr>
            <w:tcW w:w="2148" w:type="pct"/>
            <w:vAlign w:val="center"/>
          </w:tcPr>
          <w:p>
            <w:pPr>
              <w:pStyle w:val="148"/>
              <w:jc w:val="both"/>
              <w:rPr>
                <w:rFonts w:ascii="Times New Roman" w:hAnsi="Times New Roman" w:eastAsia="楷体" w:cs="Times New Roman"/>
                <w:b/>
                <w:color w:val="auto"/>
                <w:sz w:val="28"/>
                <w:szCs w:val="28"/>
                <w:lang w:eastAsia="zh-CN"/>
              </w:rPr>
            </w:pPr>
            <w:r>
              <w:rPr>
                <w:rFonts w:ascii="Times New Roman" w:hAnsi="Times New Roman" w:eastAsia="楷体" w:cs="Times New Roman"/>
                <w:bCs/>
                <w:color w:val="auto"/>
                <w:sz w:val="24"/>
                <w:szCs w:val="24"/>
                <w:lang w:val="ru-RU" w:eastAsia="zh-CN"/>
              </w:rPr>
              <w:t xml:space="preserve">1.1 </w:t>
            </w:r>
            <w:r>
              <w:rPr>
                <w:rFonts w:ascii="Times New Roman" w:hAnsi="Times New Roman" w:eastAsia="楷体" w:cs="Times New Roman"/>
                <w:bCs/>
                <w:color w:val="auto"/>
                <w:sz w:val="24"/>
                <w:szCs w:val="24"/>
                <w:lang w:eastAsia="zh-CN"/>
              </w:rPr>
              <w:t>根据本合同条款</w:t>
            </w:r>
            <w:r>
              <w:rPr>
                <w:rFonts w:ascii="Times New Roman" w:hAnsi="Times New Roman" w:eastAsia="楷体" w:cs="Times New Roman"/>
                <w:bCs/>
                <w:color w:val="auto"/>
                <w:sz w:val="24"/>
                <w:szCs w:val="24"/>
                <w:lang w:val="ru-RU" w:eastAsia="zh-CN"/>
              </w:rPr>
              <w:t>，</w:t>
            </w:r>
            <w:r>
              <w:rPr>
                <w:rFonts w:ascii="Times New Roman" w:hAnsi="Times New Roman" w:eastAsia="楷体" w:cs="Times New Roman"/>
                <w:bCs/>
                <w:color w:val="auto"/>
                <w:sz w:val="24"/>
                <w:szCs w:val="24"/>
                <w:lang w:eastAsia="zh-CN"/>
              </w:rPr>
              <w:t>卖方应负责本合同规定的货物</w:t>
            </w:r>
            <w:r>
              <w:rPr>
                <w:rFonts w:ascii="Times New Roman" w:hAnsi="Times New Roman" w:eastAsia="楷体" w:cs="Times New Roman"/>
                <w:bCs/>
                <w:color w:val="auto"/>
                <w:sz w:val="24"/>
                <w:szCs w:val="24"/>
                <w:lang w:val="ru-RU" w:eastAsia="zh-CN"/>
              </w:rPr>
              <w:t>（</w:t>
            </w:r>
            <w:r>
              <w:rPr>
                <w:rFonts w:ascii="Times New Roman" w:hAnsi="Times New Roman" w:eastAsia="楷体" w:cs="Times New Roman"/>
                <w:bCs/>
                <w:color w:val="auto"/>
                <w:sz w:val="24"/>
                <w:szCs w:val="24"/>
                <w:lang w:eastAsia="zh-CN"/>
              </w:rPr>
              <w:t>以下简称</w:t>
            </w:r>
            <w:r>
              <w:rPr>
                <w:rFonts w:ascii="Times New Roman" w:hAnsi="Times New Roman" w:eastAsia="楷体" w:cs="Times New Roman"/>
                <w:bCs/>
                <w:color w:val="auto"/>
                <w:sz w:val="24"/>
                <w:szCs w:val="24"/>
                <w:lang w:val="ru-RU" w:eastAsia="zh-CN"/>
              </w:rPr>
              <w:t>“</w:t>
            </w:r>
            <w:r>
              <w:rPr>
                <w:rFonts w:ascii="Times New Roman" w:hAnsi="Times New Roman" w:eastAsia="楷体" w:cs="Times New Roman"/>
                <w:bCs/>
                <w:color w:val="auto"/>
                <w:sz w:val="24"/>
                <w:szCs w:val="24"/>
                <w:lang w:eastAsia="zh-CN"/>
              </w:rPr>
              <w:t>货物</w:t>
            </w:r>
            <w:r>
              <w:rPr>
                <w:rFonts w:ascii="Times New Roman" w:hAnsi="Times New Roman" w:eastAsia="楷体" w:cs="Times New Roman"/>
                <w:bCs/>
                <w:color w:val="auto"/>
                <w:sz w:val="24"/>
                <w:szCs w:val="24"/>
                <w:lang w:val="ru-RU" w:eastAsia="zh-CN"/>
              </w:rPr>
              <w:t>”）</w:t>
            </w:r>
            <w:r>
              <w:rPr>
                <w:rFonts w:hint="eastAsia" w:ascii="Times New Roman" w:hAnsi="Times New Roman" w:eastAsia="楷体" w:cs="Times New Roman"/>
                <w:bCs/>
                <w:color w:val="auto"/>
                <w:sz w:val="24"/>
                <w:szCs w:val="24"/>
                <w:lang w:eastAsia="zh-CN"/>
              </w:rPr>
              <w:t>的交货、安装、调试、取证及为期一年的维护保养工作，</w:t>
            </w:r>
            <w:r>
              <w:rPr>
                <w:rFonts w:ascii="Times New Roman" w:hAnsi="Times New Roman" w:eastAsia="楷体" w:cs="Times New Roman"/>
                <w:bCs/>
                <w:color w:val="auto"/>
                <w:sz w:val="24"/>
                <w:szCs w:val="24"/>
                <w:lang w:eastAsia="zh-CN"/>
              </w:rPr>
              <w:t>买方应负责货物接收及验收工作</w:t>
            </w:r>
            <w:r>
              <w:rPr>
                <w:rFonts w:ascii="Times New Roman" w:hAnsi="Times New Roman" w:eastAsia="楷体" w:cs="Times New Roman"/>
                <w:bCs/>
                <w:color w:val="auto"/>
                <w:sz w:val="24"/>
                <w:szCs w:val="24"/>
                <w:lang w:val="ru-RU" w:eastAsia="zh-CN"/>
              </w:rPr>
              <w:t>，</w:t>
            </w:r>
            <w:r>
              <w:rPr>
                <w:rFonts w:ascii="Times New Roman" w:hAnsi="Times New Roman" w:eastAsia="楷体" w:cs="Times New Roman"/>
                <w:bCs/>
                <w:color w:val="auto"/>
                <w:sz w:val="24"/>
                <w:szCs w:val="24"/>
                <w:lang w:eastAsia="zh-CN"/>
              </w:rPr>
              <w:t>并按照本合同规定的方式和期限及时支付货款。货物应运送到买方的项目现场，运输费用包含在货物价格中。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before="120" w:after="120" w:line="240" w:lineRule="exact"/>
              <w:jc w:val="both"/>
              <w:rPr>
                <w:rFonts w:ascii="Times New Roman" w:hAnsi="Times New Roman" w:eastAsia="楷体" w:cs="Times New Roman"/>
                <w:b/>
                <w:color w:val="000000" w:themeColor="text1"/>
                <w:szCs w:val="28"/>
                <w:lang w:val="ru-RU"/>
                <w14:textFill>
                  <w14:solidFill>
                    <w14:schemeClr w14:val="tx1"/>
                  </w14:solidFill>
                </w14:textFill>
              </w:rPr>
            </w:pPr>
            <w:r>
              <w:rPr>
                <w:rFonts w:ascii="Times New Roman" w:hAnsi="Times New Roman" w:eastAsia="楷体" w:cs="Times New Roman"/>
                <w:color w:val="000000"/>
                <w:lang w:val="ru-RU"/>
              </w:rPr>
              <w:t>1.2. Подробная спецификация товаров, поставляемых по настоящему Договору, включая наименование, количество, ассортимент, комплектность и иные требуемые характеристики товара указываются в Приложени</w:t>
            </w:r>
            <w:r>
              <w:rPr>
                <w:rFonts w:ascii="Times New Roman" w:hAnsi="Times New Roman" w:eastAsia="楷体" w:cs="Times New Roman"/>
                <w:color w:val="000000"/>
                <w:lang w:val="kk-KZ"/>
              </w:rPr>
              <w:t>ях</w:t>
            </w:r>
            <w:r>
              <w:rPr>
                <w:rFonts w:ascii="Times New Roman" w:hAnsi="Times New Roman" w:eastAsia="楷体" w:cs="Times New Roman"/>
                <w:color w:val="000000"/>
                <w:lang w:val="ru-RU"/>
              </w:rPr>
              <w:t>, котор</w:t>
            </w:r>
            <w:r>
              <w:rPr>
                <w:rFonts w:ascii="Times New Roman" w:hAnsi="Times New Roman" w:eastAsia="楷体" w:cs="Times New Roman"/>
                <w:color w:val="000000"/>
                <w:lang w:val="kk-KZ"/>
              </w:rPr>
              <w:t>ые</w:t>
            </w:r>
            <w:r>
              <w:rPr>
                <w:rFonts w:ascii="Times New Roman" w:hAnsi="Times New Roman" w:eastAsia="楷体" w:cs="Times New Roman"/>
                <w:color w:val="000000"/>
                <w:lang w:val="ru-RU"/>
              </w:rPr>
              <w:t xml:space="preserve"> явля</w:t>
            </w:r>
            <w:r>
              <w:rPr>
                <w:rFonts w:ascii="Times New Roman" w:hAnsi="Times New Roman" w:eastAsia="楷体" w:cs="Times New Roman"/>
                <w:color w:val="000000"/>
                <w:lang w:val="kk-KZ"/>
              </w:rPr>
              <w:t>ю</w:t>
            </w:r>
            <w:r>
              <w:rPr>
                <w:rFonts w:ascii="Times New Roman" w:hAnsi="Times New Roman" w:eastAsia="楷体" w:cs="Times New Roman"/>
                <w:color w:val="000000"/>
                <w:lang w:val="ru-RU"/>
              </w:rPr>
              <w:t>тся неотъемлемой частью настоящего Договора.</w:t>
            </w:r>
          </w:p>
        </w:tc>
        <w:tc>
          <w:tcPr>
            <w:tcW w:w="2148" w:type="pct"/>
            <w:vAlign w:val="center"/>
          </w:tcPr>
          <w:p>
            <w:pPr>
              <w:adjustRightInd w:val="0"/>
              <w:snapToGrid w:val="0"/>
              <w:spacing w:before="120" w:beforeLines="50"/>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1.2 </w:t>
            </w:r>
            <w:r>
              <w:rPr>
                <w:rFonts w:ascii="Times New Roman" w:hAnsi="Times New Roman" w:eastAsia="楷体" w:cs="Times New Roman"/>
                <w:bCs/>
                <w:color w:val="000000" w:themeColor="text1"/>
                <w:szCs w:val="24"/>
                <w:lang w:eastAsia="zh-CN"/>
                <w14:textFill>
                  <w14:solidFill>
                    <w14:schemeClr w14:val="tx1"/>
                  </w14:solidFill>
                </w14:textFill>
              </w:rPr>
              <w:t>本合同项下所供货物的详细规格</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包括货物名称、数量、品种、配套情况及其他技术要求</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详见本合同附件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附件为本合同不可分割的组成部分。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8" w:hRule="atLeast"/>
          <w:jc w:val="center"/>
        </w:trPr>
        <w:tc>
          <w:tcPr>
            <w:tcW w:w="2851" w:type="pct"/>
          </w:tcPr>
          <w:p>
            <w:pPr>
              <w:pStyle w:val="34"/>
              <w:spacing w:beforeAutospacing="1"/>
              <w:jc w:val="both"/>
              <w:rPr>
                <w:rFonts w:eastAsia="楷体"/>
                <w:color w:val="000000" w:themeColor="text1"/>
                <w:szCs w:val="28"/>
                <w:highlight w:val="yellow"/>
                <w14:textFill>
                  <w14:solidFill>
                    <w14:schemeClr w14:val="tx1"/>
                  </w14:solidFill>
                </w14:textFill>
              </w:rPr>
            </w:pPr>
            <w:r>
              <w:rPr>
                <w:rFonts w:eastAsia="楷体"/>
                <w:color w:val="000000"/>
              </w:rPr>
              <w:t>1.3. По настоящему Договору товар поставляется в адрес непосредственно Покупателя.</w:t>
            </w:r>
          </w:p>
        </w:tc>
        <w:tc>
          <w:tcPr>
            <w:tcW w:w="2148" w:type="pct"/>
            <w:vAlign w:val="center"/>
          </w:tcPr>
          <w:p>
            <w:pPr>
              <w:adjustRightInd w:val="0"/>
              <w:snapToGrid w:val="0"/>
              <w:spacing w:before="120" w:beforeLines="50"/>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1.3 根据本合同，货物应直接交付至买方指定地址。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98" w:hRule="atLeast"/>
          <w:jc w:val="center"/>
        </w:trPr>
        <w:tc>
          <w:tcPr>
            <w:tcW w:w="2851" w:type="pct"/>
          </w:tcPr>
          <w:p>
            <w:pPr>
              <w:spacing w:after="0" w:line="240" w:lineRule="exact"/>
              <w:jc w:val="both"/>
              <w:rPr>
                <w:rFonts w:ascii="Times New Roman" w:hAnsi="Times New Roman" w:eastAsia="楷体" w:cs="Times New Roman"/>
                <w:b/>
                <w:color w:val="000000" w:themeColor="text1"/>
                <w:szCs w:val="28"/>
                <w:lang w:val="ru-RU"/>
                <w14:textFill>
                  <w14:solidFill>
                    <w14:schemeClr w14:val="tx1"/>
                  </w14:solidFill>
                </w14:textFill>
              </w:rPr>
            </w:pPr>
            <w:r>
              <w:rPr>
                <w:rFonts w:ascii="Times New Roman" w:hAnsi="Times New Roman" w:eastAsia="楷体" w:cs="Times New Roman"/>
                <w:color w:val="000000"/>
                <w:lang w:val="ru-RU"/>
              </w:rPr>
              <w:t xml:space="preserve">1.4. Поставщик обязан передать Покупателю документы на товар, предусмотренные законодательством, нормативно-техническими документами, обычаями делового оборота и иными обычно предъявляемыми требованиями. Соответствующие документы должны быть переданы Покупателю в следующий </w:t>
            </w:r>
            <w:r>
              <w:rPr>
                <w:rFonts w:ascii="Times New Roman" w:hAnsi="Times New Roman" w:eastAsia="楷体" w:cs="Times New Roman"/>
                <w:color w:val="000000"/>
                <w:lang w:val="kk-KZ"/>
              </w:rPr>
              <w:t>вместе  с товаром</w:t>
            </w:r>
            <w:r>
              <w:rPr>
                <w:rFonts w:ascii="Times New Roman" w:hAnsi="Times New Roman" w:eastAsia="楷体" w:cs="Times New Roman"/>
                <w:color w:val="000000"/>
                <w:lang w:val="ru-RU"/>
              </w:rPr>
              <w:t>.</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1.4 </w:t>
            </w:r>
            <w:r>
              <w:rPr>
                <w:rFonts w:ascii="Times New Roman" w:hAnsi="Times New Roman" w:eastAsia="楷体" w:cs="Times New Roman"/>
                <w:bCs/>
                <w:color w:val="000000" w:themeColor="text1"/>
                <w:sz w:val="24"/>
                <w:szCs w:val="24"/>
                <w:lang w:eastAsia="zh-CN"/>
                <w14:textFill>
                  <w14:solidFill>
                    <w14:schemeClr w14:val="tx1"/>
                  </w14:solidFill>
                </w14:textFill>
              </w:rPr>
              <w:t>卖方应向买方提供法律、技术规范、商业惯例以及通常要求提供的与货物相关的全部文件。上述文件应随货物一并交付给买方。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exact"/>
              <w:jc w:val="both"/>
              <w:rPr>
                <w:rFonts w:ascii="Times New Roman" w:hAnsi="Times New Roman" w:eastAsia="楷体" w:cs="Times New Roman"/>
                <w:b/>
                <w:color w:val="000000" w:themeColor="text1"/>
                <w:szCs w:val="28"/>
                <w:lang w:val="ru-RU"/>
                <w14:textFill>
                  <w14:solidFill>
                    <w14:schemeClr w14:val="tx1"/>
                  </w14:solidFill>
                </w14:textFill>
              </w:rPr>
            </w:pPr>
            <w:bookmarkStart w:id="2" w:name="1733211701"/>
            <w:r>
              <w:rPr>
                <w:rFonts w:ascii="Times New Roman" w:hAnsi="Times New Roman" w:eastAsia="楷体" w:cs="Times New Roman"/>
                <w:color w:val="000000"/>
                <w:lang w:val="ru-RU"/>
              </w:rPr>
              <w:t>1.5. Товар на момент перехода права собственности на него к Покупателю и в течение установленного срока (гарантийного, нормативного) должен соответствовать всем действующим в РК обязательным требованиям к качеству, установленным законодательством и нормативно- техническими документами.</w:t>
            </w:r>
            <w:bookmarkEnd w:id="2"/>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1.5 </w:t>
            </w:r>
            <w:r>
              <w:rPr>
                <w:rFonts w:ascii="Times New Roman" w:hAnsi="Times New Roman" w:eastAsia="楷体" w:cs="Times New Roman"/>
                <w:bCs/>
                <w:color w:val="000000" w:themeColor="text1"/>
                <w:sz w:val="24"/>
                <w:szCs w:val="24"/>
                <w:lang w:eastAsia="zh-CN"/>
                <w14:textFill>
                  <w14:solidFill>
                    <w14:schemeClr w14:val="tx1"/>
                  </w14:solidFill>
                </w14:textFill>
              </w:rPr>
              <w:t>在货物所有权转移给买方之时</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以及在规定期限</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保修期、法定期限</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内</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货物必须符合哈萨克斯坦共和国现行法律法规及技术规范所规定的全部强制性质量要求。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2851" w:type="pct"/>
          </w:tcPr>
          <w:p>
            <w:pPr>
              <w:spacing w:before="120" w:after="120" w:line="240" w:lineRule="exact"/>
              <w:jc w:val="both"/>
              <w:rPr>
                <w:rFonts w:ascii="Times New Roman" w:hAnsi="Times New Roman" w:eastAsia="楷体" w:cs="Times New Roman"/>
                <w:color w:val="000000" w:themeColor="text1"/>
                <w:highlight w:val="yellow"/>
                <w14:textFill>
                  <w14:solidFill>
                    <w14:schemeClr w14:val="tx1"/>
                  </w14:solidFill>
                </w14:textFill>
              </w:rPr>
            </w:pPr>
            <w:r>
              <w:rPr>
                <w:rFonts w:ascii="Times New Roman" w:hAnsi="Times New Roman" w:eastAsia="楷体" w:cs="Times New Roman"/>
                <w:b/>
                <w:color w:val="000000"/>
              </w:rPr>
              <w:t>2. Гарантии</w:t>
            </w:r>
          </w:p>
        </w:tc>
        <w:tc>
          <w:tcPr>
            <w:tcW w:w="2148" w:type="pct"/>
            <w:vAlign w:val="center"/>
          </w:tcPr>
          <w:p>
            <w:pPr>
              <w:adjustRightInd w:val="0"/>
              <w:snapToGrid w:val="0"/>
              <w:spacing w:before="120" w:beforeLines="50"/>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2. 保证条款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before="120" w:after="120" w:line="240" w:lineRule="exact"/>
              <w:jc w:val="both"/>
              <w:rPr>
                <w:rFonts w:ascii="Times New Roman" w:hAnsi="Times New Roman" w:eastAsia="楷体" w:cs="Times New Roman"/>
                <w:color w:val="000000" w:themeColor="text1"/>
                <w:szCs w:val="28"/>
                <w:lang w:val="ru-RU"/>
                <w14:textFill>
                  <w14:solidFill>
                    <w14:schemeClr w14:val="tx1"/>
                  </w14:solidFill>
                </w14:textFill>
              </w:rPr>
            </w:pPr>
            <w:r>
              <w:rPr>
                <w:rFonts w:ascii="Times New Roman" w:hAnsi="Times New Roman" w:eastAsia="楷体" w:cs="Times New Roman"/>
                <w:color w:val="000000"/>
                <w:lang w:val="ru-RU"/>
              </w:rPr>
              <w:t>2.1. Продавец гарантирует, что данная сделка не будет признана недействительной по требованию третьих лиц, что товар (или его часть) не будет изъят у Покупателя третьими лицами, а также то, что соответствующее право Покупателя на товар не будет прекращено (аннулировано) каким-либо иным образом помимо воли Покупателя в связи с обстоятельствами, возникшими до установленного момента перехода права на товар к Покупателю. В случае несоблюдения данного условия, Продавец должен возвратить Покупателю уплаченную за товар покупную сумму, а также возместить иные убытки.</w:t>
            </w:r>
          </w:p>
        </w:tc>
        <w:tc>
          <w:tcPr>
            <w:tcW w:w="2148" w:type="pct"/>
            <w:vAlign w:val="center"/>
          </w:tcPr>
          <w:p>
            <w:pPr>
              <w:adjustRightInd w:val="0"/>
              <w:snapToGrid w:val="0"/>
              <w:spacing w:before="120" w:beforeLines="50"/>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2.1 </w:t>
            </w:r>
            <w:r>
              <w:rPr>
                <w:rFonts w:ascii="Times New Roman" w:hAnsi="Times New Roman" w:eastAsia="楷体" w:cs="Times New Roman"/>
                <w:bCs/>
                <w:color w:val="000000" w:themeColor="text1"/>
                <w:szCs w:val="24"/>
                <w:lang w:eastAsia="zh-CN"/>
                <w14:textFill>
                  <w14:solidFill>
                    <w14:schemeClr w14:val="tx1"/>
                  </w14:solidFill>
                </w14:textFill>
              </w:rPr>
              <w:t>卖方保证</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本交易不会因第三方主张而被认定为无效</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货物</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或其部分</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不会被第三方从买方处强制没收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且买方对货物享有的权利不会因所有权转移至买方之前所发生的任何事由而被终止</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撤销</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或以其他方式剥夺。如卖方违反本项保证，应向买方退还已支付的全部货款，并赔偿买方因此遭受的其他损失。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rPr>
              <w:t>2.2. Поставщик гарантирует, что на момент перехода права собственности на товар к Покупателю в отношении товара выполнены все требуемые формальности (таможенное оформление, подтверждение соответствия, лицензирование, санитарные требования и т.п.). В случае нарушения Поставщиком данного условия Покупатель вправе отказаться от принятия соответствующего товара либо возвратить соответств</w:t>
            </w:r>
            <w:r>
              <w:rPr>
                <w:rFonts w:eastAsia="楷体"/>
                <w:color w:val="000000"/>
                <w:lang w:val="kk-KZ"/>
              </w:rPr>
              <w:t>у</w:t>
            </w:r>
            <w:r>
              <w:rPr>
                <w:rFonts w:eastAsia="楷体"/>
                <w:color w:val="000000"/>
              </w:rPr>
              <w:t>ющий товар Поставщику и потребовать возврата уплаченной за него покупной суммы, а также вправе потребовать возмещения убытков.</w:t>
            </w:r>
          </w:p>
        </w:tc>
        <w:tc>
          <w:tcPr>
            <w:tcW w:w="2148" w:type="pct"/>
            <w:vAlign w:val="center"/>
          </w:tcPr>
          <w:p>
            <w:pPr>
              <w:pStyle w:val="148"/>
              <w:adjustRightInd w:val="0"/>
              <w:snapToGrid w:val="0"/>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2.2 </w:t>
            </w:r>
            <w:r>
              <w:rPr>
                <w:rFonts w:ascii="Times New Roman" w:hAnsi="Times New Roman" w:eastAsia="楷体" w:cs="Times New Roman"/>
                <w:bCs/>
                <w:color w:val="000000" w:themeColor="text1"/>
                <w:sz w:val="24"/>
                <w:szCs w:val="24"/>
                <w:lang w:eastAsia="zh-CN"/>
                <w14:textFill>
                  <w14:solidFill>
                    <w14:schemeClr w14:val="tx1"/>
                  </w14:solidFill>
                </w14:textFill>
              </w:rPr>
              <w:t>卖方保证</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在货物所有权转移给买方时</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该货物已完成所有必要的法律手续</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包括但不限于海关清关、符合性认证、许可手续、卫生检疫要求等。如卖方违反本项规定，买方有权拒绝接收该批货物，或向卖方退货，并要求退还已支付的全部货款，同时有权要求赔偿因此造成的损失。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rPr>
              <w:t>2.3. Поставщик гарантирует, что на установленный момент перехода права собственности на товар к Покупателю товар принадлежит Поставщику на праве собственности, в отношении товара отсутствуют какие-либо ограничения, обременения, права третьих лиц, товар не является предметом какого-либо спора, товар не изъят из оборота и не ограничен в обороте в Республике Казахстан. В случае нарушения Поставщиком данного условия Покупатель вправе отказаться от принятия соответствующего товара либо возвратить соответствующий товар Поставщику и потребовать возврата уплаченной за него покупной суммы, а также вправе потребовать возмещения убытков.</w:t>
            </w:r>
          </w:p>
        </w:tc>
        <w:tc>
          <w:tcPr>
            <w:tcW w:w="2148" w:type="pct"/>
            <w:vAlign w:val="center"/>
          </w:tcPr>
          <w:p>
            <w:pPr>
              <w:adjustRightInd w:val="0"/>
              <w:snapToGrid w:val="0"/>
              <w:spacing w:before="120" w:beforeLines="50"/>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2.3 </w:t>
            </w:r>
            <w:r>
              <w:rPr>
                <w:rFonts w:ascii="Times New Roman" w:hAnsi="Times New Roman" w:eastAsia="楷体" w:cs="Times New Roman"/>
                <w:bCs/>
                <w:color w:val="000000" w:themeColor="text1"/>
                <w:szCs w:val="24"/>
                <w:lang w:eastAsia="zh-CN"/>
                <w14:textFill>
                  <w14:solidFill>
                    <w14:schemeClr w14:val="tx1"/>
                  </w14:solidFill>
                </w14:textFill>
              </w:rPr>
              <w:t>卖方保证</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在货物所有权转移给买方时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该货物为其合法所有</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不存在任何权利限制、担保负担或第三方权利主张</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货物不涉及任何争议</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且在哈萨克斯坦共和国境内未被禁止或限制流通。如卖方违反本项保证，买方有权拒绝接收该批货物，或向卖方退货，并要求退还已支付的全部货款，同时有权要求赔偿因此造成的损失。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43" w:hRule="atLeast"/>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rPr>
              <w:t>2.4 С момента подписания настоящего договора и до перехода права собственности на Товары к Покупателю, Продавец не имеет права каким-либо образом, прямо или косвенно, обременять Товары правами третьих лиц (такими как залог, повторная продажа и т.п.). В случае нарушения настоящего положения Продавцом, Покупатель имеет право отказаться от приёмки соответствующей партии Товаров либо вернуть их Продавцу, потребовать возврата всей ранее уплаченной суммы, а также компенсации убытков, понесённых в связи с этим.</w:t>
            </w:r>
          </w:p>
        </w:tc>
        <w:tc>
          <w:tcPr>
            <w:tcW w:w="2148" w:type="pct"/>
            <w:vAlign w:val="center"/>
          </w:tcPr>
          <w:p>
            <w:pPr>
              <w:adjustRightInd w:val="0"/>
              <w:snapToGrid w:val="0"/>
              <w:spacing w:before="120" w:beforeLines="50"/>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2.4 </w:t>
            </w:r>
            <w:r>
              <w:rPr>
                <w:rFonts w:ascii="Times New Roman" w:hAnsi="Times New Roman" w:eastAsia="楷体" w:cs="Times New Roman"/>
                <w:bCs/>
                <w:color w:val="000000" w:themeColor="text1"/>
                <w:szCs w:val="24"/>
                <w:lang w:eastAsia="zh-CN"/>
                <w14:textFill>
                  <w14:solidFill>
                    <w14:schemeClr w14:val="tx1"/>
                  </w14:solidFill>
                </w14:textFill>
              </w:rPr>
              <w:t>自本合同签订之日起至货物所有权转移给买方之前</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卖方不得以任何方式直接或间接地将货物设定第三方权利负担</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如抵押、再次出售等</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。如卖方违反本条规定，买方有权拒绝接收该批货物，或向卖方退货，并要求退还已支付的全部货款，同时有权要求赔偿因此造成的损失。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color w:val="000000"/>
              </w:rPr>
              <w:t xml:space="preserve">2.5 Продавец предоставляет покупателю гарантию качества на товар. </w:t>
            </w:r>
            <w:r>
              <w:rPr>
                <w:rFonts w:hint="eastAsia" w:eastAsia="楷体"/>
                <w:color w:val="000000"/>
              </w:rPr>
              <w:t>Пр</w:t>
            </w:r>
            <w:r>
              <w:rPr>
                <w:rFonts w:hint="default" w:ascii="Times New Roman" w:hAnsi="Times New Roman" w:eastAsia="楷体" w:cs="Times New Roman"/>
                <w:color w:val="000000"/>
              </w:rPr>
              <w:t>одавец завершает установку, отладки и входит в период гарантии качества после принятия покупателя. Срок гарантии качества-Один год.</w:t>
            </w:r>
          </w:p>
        </w:tc>
        <w:tc>
          <w:tcPr>
            <w:tcW w:w="2148" w:type="pct"/>
            <w:vAlign w:val="center"/>
          </w:tcPr>
          <w:p>
            <w:pPr>
              <w:adjustRightInd w:val="0"/>
              <w:snapToGrid w:val="0"/>
              <w:spacing w:before="120" w:beforeLines="50"/>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auto"/>
                <w:szCs w:val="24"/>
                <w:lang w:eastAsia="zh-CN"/>
              </w:rPr>
              <w:t>2.5 卖方向买方提供货物的质量保证。</w:t>
            </w:r>
            <w:r>
              <w:rPr>
                <w:rFonts w:hint="eastAsia" w:ascii="Times New Roman" w:hAnsi="Times New Roman" w:eastAsia="楷体" w:cs="Times New Roman"/>
                <w:bCs/>
                <w:color w:val="auto"/>
                <w:szCs w:val="24"/>
                <w:lang w:eastAsia="zh-CN"/>
              </w:rPr>
              <w:t>卖方完成安装、调试，并经过买方验收通过后进入</w:t>
            </w:r>
            <w:r>
              <w:rPr>
                <w:rFonts w:hint="eastAsia" w:ascii="Times New Roman" w:hAnsi="Times New Roman" w:eastAsia="楷体" w:cs="Times New Roman"/>
                <w:bCs/>
                <w:color w:val="auto"/>
                <w:szCs w:val="24"/>
                <w:lang w:val="en-US" w:eastAsia="zh-CN"/>
              </w:rPr>
              <w:t>质量保证期</w:t>
            </w:r>
            <w:r>
              <w:rPr>
                <w:rFonts w:hint="eastAsia" w:ascii="Times New Roman" w:hAnsi="Times New Roman" w:eastAsia="楷体" w:cs="Times New Roman"/>
                <w:bCs/>
                <w:color w:val="auto"/>
                <w:szCs w:val="24"/>
                <w:lang w:eastAsia="zh-CN"/>
              </w:rPr>
              <w:t>。</w:t>
            </w:r>
            <w:r>
              <w:rPr>
                <w:rFonts w:hint="eastAsia" w:ascii="Times New Roman" w:hAnsi="Times New Roman" w:eastAsia="楷体" w:cs="Times New Roman"/>
                <w:bCs/>
                <w:color w:val="auto"/>
                <w:szCs w:val="24"/>
                <w:lang w:val="en-US" w:eastAsia="zh-CN"/>
              </w:rPr>
              <w:t>质量保证期</w:t>
            </w:r>
            <w:r>
              <w:rPr>
                <w:rFonts w:ascii="Times New Roman" w:hAnsi="Times New Roman" w:eastAsia="楷体" w:cs="Times New Roman"/>
                <w:bCs/>
                <w:color w:val="auto"/>
                <w:szCs w:val="24"/>
                <w:lang w:eastAsia="zh-CN"/>
              </w:rPr>
              <w:t>限</w:t>
            </w:r>
            <w:r>
              <w:rPr>
                <w:rFonts w:hint="eastAsia" w:ascii="Times New Roman" w:hAnsi="Times New Roman" w:eastAsia="楷体" w:cs="Times New Roman"/>
                <w:bCs/>
                <w:color w:val="auto"/>
                <w:szCs w:val="24"/>
                <w:lang w:eastAsia="zh-CN"/>
              </w:rPr>
              <w:t>1年</w:t>
            </w:r>
            <w:r>
              <w:rPr>
                <w:rFonts w:ascii="Times New Roman" w:hAnsi="Times New Roman" w:eastAsia="楷体" w:cs="Times New Roman"/>
                <w:bCs/>
                <w:color w:val="auto"/>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before="120" w:after="120" w:line="240" w:lineRule="exact"/>
              <w:jc w:val="both"/>
              <w:rPr>
                <w:rFonts w:ascii="Times New Roman" w:hAnsi="Times New Roman" w:eastAsia="楷体" w:cs="Times New Roman"/>
                <w:color w:val="000000" w:themeColor="text1"/>
                <w:szCs w:val="28"/>
                <w:highlight w:val="yellow"/>
                <w:lang w:eastAsia="zh-CN"/>
                <w14:textFill>
                  <w14:solidFill>
                    <w14:schemeClr w14:val="tx1"/>
                  </w14:solidFill>
                </w14:textFill>
              </w:rPr>
            </w:pPr>
            <w:bookmarkStart w:id="3" w:name="1040487364"/>
            <w:r>
              <w:rPr>
                <w:rFonts w:ascii="Times New Roman" w:hAnsi="Times New Roman" w:eastAsia="楷体" w:cs="Times New Roman"/>
                <w:b/>
                <w:color w:val="000000"/>
              </w:rPr>
              <w:t>3. Условия поставки товара</w:t>
            </w:r>
            <w:bookmarkEnd w:id="3"/>
          </w:p>
        </w:tc>
        <w:tc>
          <w:tcPr>
            <w:tcW w:w="2148" w:type="pct"/>
            <w:vAlign w:val="center"/>
          </w:tcPr>
          <w:p>
            <w:pPr>
              <w:adjustRightInd w:val="0"/>
              <w:snapToGrid w:val="0"/>
              <w:spacing w:before="120" w:beforeLines="50"/>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3. 货物交付条件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40" w:hRule="atLeast"/>
          <w:jc w:val="center"/>
        </w:trPr>
        <w:tc>
          <w:tcPr>
            <w:tcW w:w="2851" w:type="pct"/>
          </w:tcPr>
          <w:p>
            <w:pPr>
              <w:spacing w:before="120" w:after="120" w:line="240" w:lineRule="exact"/>
              <w:jc w:val="both"/>
              <w:rPr>
                <w:rFonts w:ascii="Times New Roman" w:hAnsi="Times New Roman" w:eastAsia="楷体" w:cs="Times New Roman"/>
                <w:color w:val="000000" w:themeColor="text1"/>
                <w:szCs w:val="28"/>
                <w:lang w:val="ru-RU" w:eastAsia="zh-CN"/>
                <w14:textFill>
                  <w14:solidFill>
                    <w14:schemeClr w14:val="tx1"/>
                  </w14:solidFill>
                </w14:textFill>
              </w:rPr>
            </w:pPr>
            <w:r>
              <w:rPr>
                <w:rFonts w:ascii="Times New Roman" w:hAnsi="Times New Roman" w:eastAsia="楷体" w:cs="Times New Roman"/>
                <w:lang w:val="ru-RU"/>
              </w:rPr>
              <w:t>3.1 В соответствии с настоящим договором товар должен быть передан покупателю (или указанному им получателю) в надлежащем и сохранном состоянии. В случае если законодательством или техническими нормами установлены обязательные требования к упаковке или таре, продавец обязан обеспечить, чтобы передаваемая упаковка или тара одновременно соответствовали таким обязательным требованиям.</w:t>
            </w:r>
          </w:p>
        </w:tc>
        <w:tc>
          <w:tcPr>
            <w:tcW w:w="2148" w:type="pct"/>
            <w:vAlign w:val="center"/>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auto"/>
                <w:szCs w:val="24"/>
                <w:lang w:eastAsia="zh-CN"/>
              </w:rPr>
              <w:t>3.1 根据本合同，货物应</w:t>
            </w:r>
            <w:r>
              <w:rPr>
                <w:rFonts w:hint="eastAsia" w:ascii="Times New Roman" w:hAnsi="Times New Roman" w:eastAsia="楷体" w:cs="Times New Roman"/>
                <w:bCs/>
                <w:color w:val="auto"/>
                <w:szCs w:val="24"/>
                <w:lang w:eastAsia="zh-CN"/>
              </w:rPr>
              <w:t>完好</w:t>
            </w:r>
            <w:r>
              <w:rPr>
                <w:rFonts w:ascii="Times New Roman" w:hAnsi="Times New Roman" w:eastAsia="楷体" w:cs="Times New Roman"/>
                <w:bCs/>
                <w:color w:val="auto"/>
                <w:szCs w:val="24"/>
                <w:lang w:eastAsia="zh-CN"/>
              </w:rPr>
              <w:t>交付给买方（或其指定收货人）。但如果法律法规或技术规范对包装或容器有强制性要求的，卖方必须确保所交付的包装或容器同时符合此类强制性规定。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rPr>
              <w:t>3.2. Этикетки, стикеры и маркировка товара на момент перехода права собственности на него к Покупателю должны соответствовать всем действующим в РК обязательным требованиям, установленным законодательством и нормативно-техническими документами. В случае нарушения Поставщиком данного условия Покупатель вправе отказаться от принятия соответствующего товара либо возвратить соответствующий товар Поставщику и потребовать возврата уплаченной за него покупной суммы, а также вправе потребовать возмещения убытков.</w:t>
            </w:r>
          </w:p>
        </w:tc>
        <w:tc>
          <w:tcPr>
            <w:tcW w:w="2148" w:type="pct"/>
            <w:vAlign w:val="center"/>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3.2 </w:t>
            </w:r>
            <w:r>
              <w:rPr>
                <w:rFonts w:ascii="Times New Roman" w:hAnsi="Times New Roman" w:eastAsia="楷体" w:cs="Times New Roman"/>
                <w:bCs/>
                <w:color w:val="000000" w:themeColor="text1"/>
                <w:szCs w:val="24"/>
                <w:lang w:eastAsia="zh-CN"/>
                <w14:textFill>
                  <w14:solidFill>
                    <w14:schemeClr w14:val="tx1"/>
                  </w14:solidFill>
                </w14:textFill>
              </w:rPr>
              <w:t>在货物所有权转移给买方时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货物的标签、贴纸及标识必须符合哈萨克斯坦现行法律法规和技术规范所规定的全部强制性要求。如卖方违反本条规定，买方有权拒绝接收该批货物，或向卖方退货，并要求退还已支付的全部货款，同时有权要求赔偿因此造成的损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rPr>
              <w:t>3.3. Настоящим Договором предусмотрено обязательство Поставщика по доставке товара от места его нахождения до места передачи Покупателю (или указанному им лицу). При этом используемый вид транспорта определяется по усмотрению Поставщика</w:t>
            </w:r>
            <w:r>
              <w:rPr>
                <w:rFonts w:eastAsia="楷体"/>
                <w:color w:val="000000"/>
                <w:lang w:val="kk-KZ"/>
              </w:rPr>
              <w:t>, содействующий сохранению товара в целостности.</w:t>
            </w:r>
          </w:p>
        </w:tc>
        <w:tc>
          <w:tcPr>
            <w:tcW w:w="2148" w:type="pct"/>
            <w:vAlign w:val="center"/>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3.3 </w:t>
            </w:r>
            <w:r>
              <w:rPr>
                <w:rFonts w:ascii="Times New Roman" w:hAnsi="Times New Roman" w:eastAsia="楷体" w:cs="Times New Roman"/>
                <w:bCs/>
                <w:color w:val="000000" w:themeColor="text1"/>
                <w:szCs w:val="24"/>
                <w:lang w:eastAsia="zh-CN"/>
                <w14:textFill>
                  <w14:solidFill>
                    <w14:schemeClr w14:val="tx1"/>
                  </w14:solidFill>
                </w14:textFill>
              </w:rPr>
              <w:t>本合同规定</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卖方有义务将货物从其所在地运送到买方</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或其指定收货人</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的指定地点。运输方式由卖方自行决定，但应确保货物在运输过程中的完整与安全。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rPr>
              <w:t>3.</w:t>
            </w:r>
            <w:r>
              <w:rPr>
                <w:rFonts w:eastAsia="楷体"/>
                <w:color w:val="000000"/>
                <w:lang w:eastAsia="zh-CN"/>
              </w:rPr>
              <w:t>4</w:t>
            </w:r>
            <w:r>
              <w:rPr>
                <w:rFonts w:eastAsia="楷体"/>
                <w:color w:val="000000"/>
              </w:rPr>
              <w:t>. Погрузка товара на транспортное средство в месте отправки товара (если таковая необходима) осуществляется силами и за счёт Поставщика.</w:t>
            </w:r>
          </w:p>
        </w:tc>
        <w:tc>
          <w:tcPr>
            <w:tcW w:w="2148" w:type="pct"/>
            <w:vAlign w:val="center"/>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3.4 如需在起运地进行装车，装车作业由卖方负责并承担全部费用。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before="120" w:after="120" w:line="240" w:lineRule="exact"/>
              <w:jc w:val="both"/>
              <w:rPr>
                <w:rFonts w:ascii="Times New Roman" w:hAnsi="Times New Roman" w:eastAsia="楷体" w:cs="Times New Roman"/>
                <w:color w:val="000000" w:themeColor="text1"/>
                <w:lang w:val="ru-RU"/>
                <w14:textFill>
                  <w14:solidFill>
                    <w14:schemeClr w14:val="tx1"/>
                  </w14:solidFill>
                </w14:textFill>
              </w:rPr>
            </w:pPr>
            <w:r>
              <w:rPr>
                <w:rFonts w:ascii="Times New Roman" w:hAnsi="Times New Roman" w:eastAsia="楷体" w:cs="Times New Roman"/>
                <w:lang w:val="ru-RU"/>
              </w:rPr>
              <w:t>3.5 В случае необходимости выполнения разгрузки в месте поставки, разгрузочные работы осуществляются покупателем под руководством и контролем продавца.</w:t>
            </w:r>
          </w:p>
        </w:tc>
        <w:tc>
          <w:tcPr>
            <w:tcW w:w="2148" w:type="pct"/>
            <w:vAlign w:val="center"/>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auto"/>
                <w:szCs w:val="24"/>
                <w:lang w:eastAsia="zh-CN"/>
              </w:rPr>
              <w:t>3.5 如需在交货地点进行卸货，卸货作业</w:t>
            </w:r>
            <w:r>
              <w:rPr>
                <w:rFonts w:hint="eastAsia" w:ascii="Times New Roman" w:hAnsi="Times New Roman" w:eastAsia="楷体" w:cs="Times New Roman"/>
                <w:bCs/>
                <w:color w:val="auto"/>
                <w:szCs w:val="24"/>
                <w:lang w:eastAsia="zh-CN"/>
              </w:rPr>
              <w:t>在卖方的指导下</w:t>
            </w:r>
            <w:r>
              <w:rPr>
                <w:rFonts w:ascii="Times New Roman" w:hAnsi="Times New Roman" w:eastAsia="楷体" w:cs="Times New Roman"/>
                <w:bCs/>
                <w:color w:val="auto"/>
                <w:szCs w:val="24"/>
                <w:lang w:eastAsia="zh-CN"/>
              </w:rPr>
              <w:t>由</w:t>
            </w:r>
            <w:r>
              <w:rPr>
                <w:rFonts w:hint="eastAsia" w:ascii="Times New Roman" w:hAnsi="Times New Roman" w:eastAsia="楷体" w:cs="Times New Roman"/>
                <w:bCs/>
                <w:color w:val="auto"/>
                <w:szCs w:val="24"/>
                <w:lang w:eastAsia="zh-CN"/>
              </w:rPr>
              <w:t>买</w:t>
            </w:r>
            <w:r>
              <w:rPr>
                <w:rFonts w:ascii="Times New Roman" w:hAnsi="Times New Roman" w:eastAsia="楷体" w:cs="Times New Roman"/>
                <w:bCs/>
                <w:color w:val="auto"/>
                <w:szCs w:val="24"/>
                <w:lang w:eastAsia="zh-CN"/>
              </w:rPr>
              <w:t>方负责。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rPr>
              <w:t>3.</w:t>
            </w:r>
            <w:r>
              <w:rPr>
                <w:rFonts w:eastAsia="楷体"/>
                <w:color w:val="000000"/>
                <w:lang w:eastAsia="zh-CN"/>
              </w:rPr>
              <w:t>6</w:t>
            </w:r>
            <w:r>
              <w:rPr>
                <w:rFonts w:eastAsia="楷体"/>
                <w:color w:val="000000"/>
              </w:rPr>
              <w:t>. Доставка товара и его хранение должны осуществляться в условиях, обеспечивающих</w:t>
            </w:r>
            <w:r>
              <w:rPr>
                <w:rFonts w:eastAsia="楷体"/>
                <w:color w:val="000000"/>
                <w:lang w:val="kk-KZ"/>
              </w:rPr>
              <w:t xml:space="preserve"> </w:t>
            </w:r>
            <w:r>
              <w:rPr>
                <w:rFonts w:eastAsia="楷体"/>
                <w:color w:val="000000"/>
              </w:rPr>
              <w:t>сохранность его качества, в том числе соблюдение требований к предусмотренным условиям хранения в специально оборудованных помещениях, условиям перевозки в специально предназначенных для этих целей транспортных средствахи с соблюдением всех иных обязательных требований, предусмотренных правилами, регулирующими перевозку товара, а также требований и рекомендаций изготовителя.</w:t>
            </w:r>
          </w:p>
        </w:tc>
        <w:tc>
          <w:tcPr>
            <w:tcW w:w="2148" w:type="pct"/>
            <w:vAlign w:val="center"/>
          </w:tcPr>
          <w:p>
            <w:pPr>
              <w:jc w:val="both"/>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3.6</w:t>
            </w:r>
            <w:r>
              <w:rPr>
                <w:rFonts w:ascii="Times New Roman" w:hAnsi="Times New Roman" w:eastAsia="楷体" w:cs="Times New Roman"/>
                <w:bCs/>
                <w:color w:val="000000" w:themeColor="text1"/>
                <w:szCs w:val="24"/>
                <w:lang w:eastAsia="zh-CN"/>
                <w14:textFill>
                  <w14:solidFill>
                    <w14:schemeClr w14:val="tx1"/>
                  </w14:solidFill>
                </w14:textFill>
              </w:rPr>
              <w:t>货物的运输和储存必须在能够保证其质量完好的条件下进行</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包括</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在专门配备的场所内按照规定的储存条件存放</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使用专用于此类用途的运输工具进行运输</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严格遵守有关货物运输的各项法规、规则</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以及制造商提出的相关要求和建议。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numPr>
                <w:ilvl w:val="0"/>
                <w:numId w:val="7"/>
              </w:numPr>
              <w:spacing w:line="360" w:lineRule="auto"/>
              <w:rPr>
                <w:rFonts w:eastAsia="楷体"/>
                <w:color w:val="000000" w:themeColor="text1"/>
                <w14:textFill>
                  <w14:solidFill>
                    <w14:schemeClr w14:val="tx1"/>
                  </w14:solidFill>
                </w14:textFill>
              </w:rPr>
            </w:pPr>
            <w:r>
              <w:rPr>
                <w:rFonts w:eastAsia="楷体"/>
              </w:rPr>
              <w:t>Срок поставки и порядок приёмки-передачи товара</w:t>
            </w:r>
          </w:p>
        </w:tc>
        <w:tc>
          <w:tcPr>
            <w:tcW w:w="2148" w:type="pct"/>
            <w:vAlign w:val="center"/>
          </w:tcPr>
          <w:p>
            <w:pPr>
              <w:spacing w:after="0" w:line="360" w:lineRule="auto"/>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4. 交货期限及货物交接程序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themeColor="text1"/>
                <w14:textFill>
                  <w14:solidFill>
                    <w14:schemeClr w14:val="tx1"/>
                  </w14:solidFill>
                </w14:textFill>
              </w:rPr>
              <w:t xml:space="preserve">4.1 </w:t>
            </w:r>
            <w:bookmarkStart w:id="4" w:name="OLE_LINK5"/>
            <w:r>
              <w:rPr>
                <w:rFonts w:eastAsia="楷体"/>
                <w:color w:val="000000" w:themeColor="text1"/>
                <w14:textFill>
                  <w14:solidFill>
                    <w14:schemeClr w14:val="tx1"/>
                  </w14:solidFill>
                </w14:textFill>
              </w:rPr>
              <w:t>Обязательство продавца по поставке товара покупателю считается исполненным с даты фактической передачи товара продавцом покупателю (или указанному им получателю), при условии завершения установки и пуско-наладочных работ, получения всех необходимых разрешительных документов и прохождения приемки покупателем.</w:t>
            </w:r>
            <w:bookmarkEnd w:id="4"/>
          </w:p>
        </w:tc>
        <w:tc>
          <w:tcPr>
            <w:tcW w:w="2148" w:type="pct"/>
            <w:vAlign w:val="center"/>
          </w:tcPr>
          <w:p>
            <w:pPr>
              <w:jc w:val="both"/>
              <w:rPr>
                <w:rFonts w:ascii="Times New Roman" w:hAnsi="Times New Roman" w:eastAsia="楷体" w:cs="Times New Roman"/>
                <w:color w:val="auto"/>
                <w:lang w:val="ru-RU" w:eastAsia="zh-CN"/>
              </w:rPr>
            </w:pPr>
            <w:r>
              <w:rPr>
                <w:rFonts w:ascii="Times New Roman" w:hAnsi="Times New Roman" w:eastAsia="楷体" w:cs="Times New Roman"/>
                <w:bCs/>
                <w:color w:val="auto"/>
                <w:szCs w:val="24"/>
                <w:lang w:val="ru-RU" w:eastAsia="zh-CN"/>
              </w:rPr>
              <w:t xml:space="preserve">4.1 </w:t>
            </w:r>
            <w:r>
              <w:rPr>
                <w:rFonts w:ascii="Times New Roman" w:hAnsi="Times New Roman" w:eastAsia="楷体" w:cs="Times New Roman"/>
                <w:bCs/>
                <w:color w:val="auto"/>
                <w:szCs w:val="24"/>
                <w:lang w:eastAsia="zh-CN"/>
              </w:rPr>
              <w:t>卖方向买方交付货物的义务</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自卖方将货物实际交付</w:t>
            </w:r>
            <w:r>
              <w:rPr>
                <w:rFonts w:hint="eastAsia" w:ascii="Times New Roman" w:hAnsi="Times New Roman" w:eastAsia="楷体" w:cs="Times New Roman"/>
                <w:bCs/>
                <w:color w:val="auto"/>
                <w:szCs w:val="24"/>
                <w:lang w:eastAsia="zh-CN"/>
              </w:rPr>
              <w:t>（完成安装调试、取证完毕且通过买方验收通过）</w:t>
            </w:r>
            <w:r>
              <w:rPr>
                <w:rFonts w:ascii="Times New Roman" w:hAnsi="Times New Roman" w:eastAsia="楷体" w:cs="Times New Roman"/>
                <w:bCs/>
                <w:color w:val="auto"/>
                <w:szCs w:val="24"/>
                <w:lang w:eastAsia="zh-CN"/>
              </w:rPr>
              <w:t>至买方</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或其指定收货人</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之日视为履行完毕。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highlight w:val="yellow"/>
                <w14:textFill>
                  <w14:solidFill>
                    <w14:schemeClr w14:val="tx1"/>
                  </w14:solidFill>
                </w14:textFill>
              </w:rPr>
            </w:pPr>
            <w:r>
              <w:rPr>
                <w:rFonts w:eastAsia="楷体"/>
                <w:color w:val="000000" w:themeColor="text1"/>
                <w14:textFill>
                  <w14:solidFill>
                    <w14:schemeClr w14:val="tx1"/>
                  </w14:solidFill>
                </w14:textFill>
              </w:rPr>
              <w:t>4.2 Товар должен быть фактически передан покупателю (или указанному им получателю) в течение 7 месяцев с даты заключения договора.</w:t>
            </w:r>
          </w:p>
        </w:tc>
        <w:tc>
          <w:tcPr>
            <w:tcW w:w="2148" w:type="pct"/>
            <w:vAlign w:val="center"/>
          </w:tcPr>
          <w:p>
            <w:pPr>
              <w:jc w:val="both"/>
              <w:rPr>
                <w:rFonts w:ascii="Times New Roman" w:hAnsi="Times New Roman" w:eastAsia="楷体" w:cs="Times New Roman"/>
                <w:color w:val="auto"/>
                <w:lang w:val="ru-RU" w:eastAsia="zh-CN"/>
              </w:rPr>
            </w:pPr>
            <w:r>
              <w:rPr>
                <w:rFonts w:ascii="Times New Roman" w:hAnsi="Times New Roman" w:eastAsia="楷体" w:cs="Times New Roman"/>
                <w:bCs/>
                <w:color w:val="auto"/>
                <w:szCs w:val="24"/>
                <w:lang w:val="ru-RU" w:eastAsia="zh-CN"/>
              </w:rPr>
              <w:t xml:space="preserve">4.2 </w:t>
            </w:r>
            <w:r>
              <w:rPr>
                <w:rFonts w:ascii="Times New Roman" w:hAnsi="Times New Roman" w:eastAsia="楷体" w:cs="Times New Roman"/>
                <w:bCs/>
                <w:color w:val="auto"/>
                <w:szCs w:val="24"/>
                <w:lang w:eastAsia="zh-CN"/>
              </w:rPr>
              <w:t>货物应于合同签订后</w:t>
            </w:r>
            <w:r>
              <w:rPr>
                <w:rFonts w:hint="eastAsia" w:ascii="Times New Roman" w:hAnsi="Times New Roman" w:eastAsia="楷体" w:cs="Times New Roman"/>
                <w:bCs/>
                <w:color w:val="auto"/>
                <w:szCs w:val="24"/>
                <w:lang w:eastAsia="zh-CN"/>
              </w:rPr>
              <w:t>7个月内实际</w:t>
            </w:r>
            <w:r>
              <w:rPr>
                <w:rFonts w:ascii="Times New Roman" w:hAnsi="Times New Roman" w:eastAsia="楷体" w:cs="Times New Roman"/>
                <w:bCs/>
                <w:color w:val="auto"/>
                <w:szCs w:val="24"/>
                <w:lang w:eastAsia="zh-CN"/>
              </w:rPr>
              <w:t>交付给买方</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或其指定收货人</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highlight w:val="yellow"/>
                <w14:textFill>
                  <w14:solidFill>
                    <w14:schemeClr w14:val="tx1"/>
                  </w14:solidFill>
                </w14:textFill>
              </w:rPr>
            </w:pPr>
            <w:r>
              <w:rPr>
                <w:rFonts w:eastAsia="楷体"/>
                <w:color w:val="000000" w:themeColor="text1"/>
                <w14:textFill>
                  <w14:solidFill>
                    <w14:schemeClr w14:val="tx1"/>
                  </w14:solidFill>
                </w14:textFill>
              </w:rPr>
              <w:t>4.3 Покупатель (или указанный им получатель) обязан завершить приемку товара в течение 15 дней после завершения установки и пуско-наладочных работ и при отсутствии дефектов.</w:t>
            </w:r>
          </w:p>
        </w:tc>
        <w:tc>
          <w:tcPr>
            <w:tcW w:w="2148" w:type="pct"/>
            <w:vAlign w:val="center"/>
          </w:tcPr>
          <w:p>
            <w:pPr>
              <w:jc w:val="both"/>
              <w:rPr>
                <w:rFonts w:ascii="Times New Roman" w:hAnsi="Times New Roman" w:eastAsia="楷体" w:cs="Times New Roman"/>
                <w:color w:val="auto"/>
                <w:lang w:val="ru-RU" w:eastAsia="zh-CN"/>
              </w:rPr>
            </w:pPr>
            <w:r>
              <w:rPr>
                <w:rFonts w:ascii="Times New Roman" w:hAnsi="Times New Roman" w:eastAsia="楷体" w:cs="Times New Roman"/>
                <w:bCs/>
                <w:color w:val="auto"/>
                <w:szCs w:val="24"/>
                <w:lang w:val="ru-RU" w:eastAsia="zh-CN"/>
              </w:rPr>
              <w:t xml:space="preserve">4.3 </w:t>
            </w:r>
            <w:r>
              <w:rPr>
                <w:rFonts w:ascii="Times New Roman" w:hAnsi="Times New Roman" w:eastAsia="楷体" w:cs="Times New Roman"/>
                <w:bCs/>
                <w:color w:val="auto"/>
                <w:szCs w:val="24"/>
                <w:lang w:eastAsia="zh-CN"/>
              </w:rPr>
              <w:t>买方</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或其指定收货人</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应在货物</w:t>
            </w:r>
            <w:r>
              <w:rPr>
                <w:rFonts w:hint="eastAsia" w:ascii="Times New Roman" w:hAnsi="Times New Roman" w:eastAsia="楷体" w:cs="Times New Roman"/>
                <w:bCs/>
                <w:color w:val="auto"/>
                <w:szCs w:val="24"/>
                <w:lang w:eastAsia="zh-CN"/>
              </w:rPr>
              <w:t>安装调试完毕且无缺陷后</w:t>
            </w:r>
            <w:r>
              <w:rPr>
                <w:rFonts w:ascii="Times New Roman" w:hAnsi="Times New Roman" w:eastAsia="楷体" w:cs="Times New Roman"/>
                <w:bCs/>
                <w:color w:val="auto"/>
                <w:szCs w:val="24"/>
                <w:lang w:val="ru-RU" w:eastAsia="zh-CN"/>
              </w:rPr>
              <w:t>1</w:t>
            </w:r>
            <w:r>
              <w:rPr>
                <w:rFonts w:hint="eastAsia" w:ascii="Times New Roman" w:hAnsi="Times New Roman" w:eastAsia="楷体" w:cs="Times New Roman"/>
                <w:bCs/>
                <w:color w:val="auto"/>
                <w:szCs w:val="24"/>
                <w:lang w:eastAsia="zh-CN"/>
              </w:rPr>
              <w:t>5</w:t>
            </w:r>
            <w:r>
              <w:rPr>
                <w:rFonts w:ascii="Times New Roman" w:hAnsi="Times New Roman" w:eastAsia="楷体" w:cs="Times New Roman"/>
                <w:bCs/>
                <w:color w:val="auto"/>
                <w:szCs w:val="24"/>
                <w:lang w:eastAsia="zh-CN"/>
              </w:rPr>
              <w:t>日内完成验收工作。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highlight w:val="yellow"/>
                <w14:textFill>
                  <w14:solidFill>
                    <w14:schemeClr w14:val="tx1"/>
                  </w14:solidFill>
                </w14:textFill>
              </w:rPr>
            </w:pPr>
            <w:r>
              <w:rPr>
                <w:rFonts w:eastAsia="楷体"/>
                <w:color w:val="000000" w:themeColor="text1"/>
                <w14:textFill>
                  <w14:solidFill>
                    <w14:schemeClr w14:val="tx1"/>
                  </w14:solidFill>
                </w14:textFill>
              </w:rPr>
              <w:t>4.4 За исключением случаев, когда задержка фактической поставки произошла по требованию покупателя, если просрочка поставки со стороны продавца превышает 30 дней, покупатель вправе отказаться от приемки данной партии товара. С момента отказа покупателя от приемки все обязательства сторон в отношении данной партии товара считаются полностью прекращенными.</w:t>
            </w:r>
          </w:p>
        </w:tc>
        <w:tc>
          <w:tcPr>
            <w:tcW w:w="2148" w:type="pct"/>
            <w:vAlign w:val="center"/>
          </w:tcPr>
          <w:p>
            <w:pPr>
              <w:jc w:val="both"/>
              <w:rPr>
                <w:rFonts w:ascii="Times New Roman" w:hAnsi="Times New Roman" w:eastAsia="楷体" w:cs="Times New Roman"/>
                <w:color w:val="auto"/>
                <w:lang w:eastAsia="zh-CN"/>
              </w:rPr>
            </w:pPr>
            <w:r>
              <w:rPr>
                <w:rFonts w:ascii="Times New Roman" w:hAnsi="Times New Roman" w:eastAsia="楷体" w:cs="Times New Roman"/>
                <w:bCs/>
                <w:color w:val="auto"/>
                <w:szCs w:val="24"/>
                <w:lang w:val="ru-RU" w:eastAsia="zh-CN"/>
              </w:rPr>
              <w:t xml:space="preserve">4.4 </w:t>
            </w:r>
            <w:r>
              <w:rPr>
                <w:rFonts w:ascii="Times New Roman" w:hAnsi="Times New Roman" w:eastAsia="楷体" w:cs="Times New Roman"/>
                <w:bCs/>
                <w:color w:val="auto"/>
                <w:szCs w:val="24"/>
                <w:lang w:eastAsia="zh-CN"/>
              </w:rPr>
              <w:t>除因买方要求延迟</w:t>
            </w:r>
            <w:r>
              <w:rPr>
                <w:rFonts w:hint="eastAsia" w:ascii="Times New Roman" w:hAnsi="Times New Roman" w:eastAsia="楷体" w:cs="Times New Roman"/>
                <w:bCs/>
                <w:color w:val="auto"/>
                <w:szCs w:val="24"/>
                <w:lang w:eastAsia="zh-CN"/>
              </w:rPr>
              <w:t>实际交付</w:t>
            </w:r>
            <w:r>
              <w:rPr>
                <w:rFonts w:ascii="Times New Roman" w:hAnsi="Times New Roman" w:eastAsia="楷体" w:cs="Times New Roman"/>
                <w:bCs/>
                <w:color w:val="auto"/>
                <w:szCs w:val="24"/>
                <w:lang w:eastAsia="zh-CN"/>
              </w:rPr>
              <w:t>外</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若卖方交货迟延超过</w:t>
            </w:r>
            <w:r>
              <w:rPr>
                <w:rFonts w:hint="eastAsia" w:ascii="Times New Roman" w:hAnsi="Times New Roman" w:eastAsia="楷体" w:cs="Times New Roman"/>
                <w:bCs/>
                <w:color w:val="auto"/>
                <w:szCs w:val="24"/>
                <w:lang w:eastAsia="zh-CN"/>
              </w:rPr>
              <w:t>30</w:t>
            </w:r>
            <w:r>
              <w:rPr>
                <w:rFonts w:ascii="Times New Roman" w:hAnsi="Times New Roman" w:eastAsia="楷体" w:cs="Times New Roman"/>
                <w:bCs/>
                <w:color w:val="auto"/>
                <w:szCs w:val="24"/>
                <w:lang w:eastAsia="zh-CN"/>
              </w:rPr>
              <w:t>日</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买方有权拒绝接收该批货物。一旦买方拒绝接收，双方就该批货物所承担的义务即告全部终止。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themeColor="text1"/>
                <w14:textFill>
                  <w14:solidFill>
                    <w14:schemeClr w14:val="tx1"/>
                  </w14:solidFill>
                </w14:textFill>
              </w:rPr>
              <w:t>4.5 По наступлении согласованного сторонами срока поставки каждая из сторон обязана обеспечить собственную готовность и, при необходимости, скоординировать действия с третьими лицами для обеспечения надлежащего проведения процедуры передачи товара в месте поставки.</w:t>
            </w:r>
          </w:p>
        </w:tc>
        <w:tc>
          <w:tcPr>
            <w:tcW w:w="2148" w:type="pct"/>
            <w:vAlign w:val="center"/>
          </w:tcPr>
          <w:p>
            <w:pPr>
              <w:jc w:val="both"/>
              <w:rPr>
                <w:rFonts w:ascii="Times New Roman" w:hAnsi="Times New Roman" w:eastAsia="楷体" w:cs="Times New Roman"/>
                <w:color w:val="auto"/>
                <w:lang w:val="ru-RU" w:eastAsia="zh-CN"/>
              </w:rPr>
            </w:pPr>
            <w:r>
              <w:rPr>
                <w:rFonts w:ascii="Times New Roman" w:hAnsi="Times New Roman" w:eastAsia="楷体" w:cs="Times New Roman"/>
                <w:bCs/>
                <w:color w:val="auto"/>
                <w:szCs w:val="24"/>
                <w:lang w:val="ru-RU" w:eastAsia="zh-CN"/>
              </w:rPr>
              <w:t xml:space="preserve">4.5 </w:t>
            </w:r>
            <w:r>
              <w:rPr>
                <w:rFonts w:ascii="Times New Roman" w:hAnsi="Times New Roman" w:eastAsia="楷体" w:cs="Times New Roman"/>
                <w:bCs/>
                <w:color w:val="auto"/>
                <w:szCs w:val="24"/>
                <w:lang w:eastAsia="zh-CN"/>
              </w:rPr>
              <w:t>在双方约定的交货期限届至时</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双方应各自确保自身已做好准备</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并在必要时协调第三方</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确保在交货地点顺利进行交接程序。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themeColor="text1"/>
                <w14:textFill>
                  <w14:solidFill>
                    <w14:schemeClr w14:val="tx1"/>
                  </w14:solidFill>
                </w14:textFill>
              </w:rPr>
              <w:t>4.6 При фактическом получении товара от продавца покупатель (или указанный им получатель) обязан провести приемку на месте. Покупатель вправе отказать в приемке товара в случае несоответствия количества, ассортимента, комплектности, маркировки (этикеток) условиям договора либо при наличии внешних (поверхностных) дефектов.</w:t>
            </w:r>
          </w:p>
        </w:tc>
        <w:tc>
          <w:tcPr>
            <w:tcW w:w="2148" w:type="pct"/>
            <w:vAlign w:val="center"/>
          </w:tcPr>
          <w:p>
            <w:pPr>
              <w:jc w:val="both"/>
              <w:rPr>
                <w:rFonts w:ascii="Times New Roman" w:hAnsi="Times New Roman" w:eastAsia="楷体" w:cs="Times New Roman"/>
                <w:color w:val="auto"/>
                <w:lang w:eastAsia="zh-CN"/>
              </w:rPr>
            </w:pPr>
            <w:r>
              <w:rPr>
                <w:rFonts w:ascii="Times New Roman" w:hAnsi="Times New Roman" w:eastAsia="楷体" w:cs="Times New Roman"/>
                <w:bCs/>
                <w:color w:val="auto"/>
                <w:szCs w:val="24"/>
                <w:lang w:val="ru-RU" w:eastAsia="zh-CN"/>
              </w:rPr>
              <w:t xml:space="preserve">4.6 </w:t>
            </w:r>
            <w:r>
              <w:rPr>
                <w:rFonts w:ascii="Times New Roman" w:hAnsi="Times New Roman" w:eastAsia="楷体" w:cs="Times New Roman"/>
                <w:bCs/>
                <w:color w:val="auto"/>
                <w:szCs w:val="24"/>
                <w:lang w:eastAsia="zh-CN"/>
              </w:rPr>
              <w:t>买方</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或其指定收货人</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从卖方</w:t>
            </w:r>
            <w:r>
              <w:rPr>
                <w:rFonts w:hint="eastAsia" w:ascii="Times New Roman" w:hAnsi="Times New Roman" w:eastAsia="楷体" w:cs="Times New Roman"/>
                <w:bCs/>
                <w:color w:val="auto"/>
                <w:szCs w:val="24"/>
                <w:lang w:eastAsia="zh-CN"/>
              </w:rPr>
              <w:t>实际</w:t>
            </w:r>
            <w:r>
              <w:rPr>
                <w:rFonts w:ascii="Times New Roman" w:hAnsi="Times New Roman" w:eastAsia="楷体" w:cs="Times New Roman"/>
                <w:bCs/>
                <w:color w:val="auto"/>
                <w:szCs w:val="24"/>
                <w:lang w:eastAsia="zh-CN"/>
              </w:rPr>
              <w:t>接收货物时</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应进行现场验收。买方有权在接收时拒收数量、品种、配套、标识（标签）不符合合同约定，或存在外观（表面）缺陷的货物。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rPr>
              <w:t>4.</w:t>
            </w:r>
            <w:r>
              <w:rPr>
                <w:rFonts w:eastAsia="楷体"/>
                <w:color w:val="000000"/>
                <w:lang w:eastAsia="zh-CN"/>
              </w:rPr>
              <w:t xml:space="preserve">7 </w:t>
            </w:r>
            <w:r>
              <w:rPr>
                <w:rFonts w:eastAsia="楷体"/>
                <w:color w:val="000000"/>
              </w:rPr>
              <w:t>Право собственности на товар или его соответствующую часть переходит к Покупателю с момента получения товара или его соответствующей части Покупателем (или указанным им лицом).</w:t>
            </w:r>
          </w:p>
        </w:tc>
        <w:tc>
          <w:tcPr>
            <w:tcW w:w="2148" w:type="pct"/>
            <w:vAlign w:val="center"/>
          </w:tcPr>
          <w:p>
            <w:pPr>
              <w:jc w:val="both"/>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4.7 </w:t>
            </w:r>
            <w:r>
              <w:rPr>
                <w:rFonts w:ascii="Times New Roman" w:hAnsi="Times New Roman" w:eastAsia="楷体" w:cs="Times New Roman"/>
                <w:bCs/>
                <w:color w:val="000000" w:themeColor="text1"/>
                <w:szCs w:val="24"/>
                <w:lang w:eastAsia="zh-CN"/>
                <w14:textFill>
                  <w14:solidFill>
                    <w14:schemeClr w14:val="tx1"/>
                  </w14:solidFill>
                </w14:textFill>
              </w:rPr>
              <w:t>货物或其部分的所有权自买方</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或其指定收货人</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实际接收货物或其相应部分时起转移至买方。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rPr>
              <w:t>4.8 Риск случайной гибели или повреждения товаров переходит от Продавца к Покупателю с момента завершения Продавцом приёмки товаров в соответствии с настоящим договором. Если Покупатель (или его уполномоченный получатель) без уважительных причин отказывается принять и принять товары, риск переходит к Покупателю со следующего дня после истечения согласованного срока приёмки и проверки; однако если по условиям настоящего договора товары должны быть переданы на складе, в офисе, терминале Продавца или третьей стороны, данное положение не применяется.</w:t>
            </w:r>
          </w:p>
        </w:tc>
        <w:tc>
          <w:tcPr>
            <w:tcW w:w="2148" w:type="pct"/>
            <w:vAlign w:val="center"/>
          </w:tcPr>
          <w:p>
            <w:pPr>
              <w:jc w:val="both"/>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4.8 </w:t>
            </w:r>
            <w:r>
              <w:rPr>
                <w:rFonts w:ascii="Times New Roman" w:hAnsi="Times New Roman" w:eastAsia="楷体" w:cs="Times New Roman"/>
                <w:bCs/>
                <w:color w:val="000000" w:themeColor="text1"/>
                <w:szCs w:val="24"/>
                <w:lang w:eastAsia="zh-CN"/>
                <w14:textFill>
                  <w14:solidFill>
                    <w14:schemeClr w14:val="tx1"/>
                  </w14:solidFill>
                </w14:textFill>
              </w:rPr>
              <w:t>货物因意外灭失或损坏的风险</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自卖方按照本合同规定完成货物验收时起</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由卖方转移至买方。</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若买方</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或其指定收货人</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无正当理由拒绝接收及验收货物</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该风险自约定接收及验收期限届满之次日起转移至买方</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但若根据本合同约定</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货物应在卖方或第三方的仓库、办公室、终端等地点交付</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则不适用本条规定。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jc w:val="both"/>
              <w:rPr>
                <w:rFonts w:ascii="Times New Roman" w:hAnsi="Times New Roman" w:eastAsia="楷体" w:cs="Times New Roman"/>
                <w:b/>
                <w:bCs/>
                <w:color w:val="000000" w:themeColor="text1"/>
                <w:szCs w:val="28"/>
                <w:lang w:val="ru-RU"/>
                <w14:textFill>
                  <w14:solidFill>
                    <w14:schemeClr w14:val="tx1"/>
                  </w14:solidFill>
                </w14:textFill>
              </w:rPr>
            </w:pPr>
            <w:r>
              <w:rPr>
                <w:rFonts w:ascii="Times New Roman" w:hAnsi="Times New Roman" w:eastAsia="楷体" w:cs="Times New Roman"/>
                <w:lang w:val="ru-RU"/>
              </w:rPr>
              <w:t>4.9 Приёмка товаров по настоящему договору подтверждается обеими сторонами путём подписания акта приёмки товаров.</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4.9 本合同项下货物的验收，由双方通过签署货物验收单的方式进行确认。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7" w:hRule="atLeast"/>
          <w:jc w:val="center"/>
        </w:trPr>
        <w:tc>
          <w:tcPr>
            <w:tcW w:w="2851" w:type="pct"/>
          </w:tcPr>
          <w:p>
            <w:pPr>
              <w:pStyle w:val="34"/>
              <w:numPr>
                <w:ilvl w:val="0"/>
                <w:numId w:val="7"/>
              </w:numPr>
              <w:rPr>
                <w:rFonts w:eastAsia="楷体"/>
                <w:color w:val="000000" w:themeColor="text1"/>
                <w:szCs w:val="28"/>
                <w14:textFill>
                  <w14:solidFill>
                    <w14:schemeClr w14:val="tx1"/>
                  </w14:solidFill>
                </w14:textFill>
              </w:rPr>
            </w:pPr>
            <w:r>
              <w:rPr>
                <w:rFonts w:eastAsia="楷体"/>
              </w:rPr>
              <w:t>Цена товара и порядок расчётов</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5. 货物价格及结算方式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rPr>
                <w:rFonts w:eastAsia="楷体"/>
                <w:color w:val="auto"/>
              </w:rPr>
            </w:pPr>
            <w:r>
              <w:rPr>
                <w:rFonts w:eastAsia="楷体"/>
                <w:b/>
                <w:bCs/>
                <w:color w:val="auto"/>
              </w:rPr>
              <w:t>5.1</w:t>
            </w:r>
            <w:r>
              <w:rPr>
                <w:rFonts w:eastAsia="楷体"/>
                <w:color w:val="auto"/>
              </w:rPr>
              <w:t xml:space="preserve"> Общая стоимость настоящего договора составляет ______ тенге (ставка НДС — ______%).</w:t>
            </w:r>
          </w:p>
          <w:p>
            <w:pPr>
              <w:pStyle w:val="34"/>
              <w:numPr>
                <w:ilvl w:val="0"/>
                <w:numId w:val="0"/>
              </w:numPr>
              <w:tabs>
                <w:tab w:val="left" w:pos="0"/>
              </w:tabs>
              <w:ind w:leftChars="0"/>
              <w:rPr>
                <w:rFonts w:eastAsia="楷体"/>
                <w:color w:val="auto"/>
              </w:rPr>
            </w:pPr>
            <w:r>
              <w:rPr>
                <w:rFonts w:hint="eastAsia" w:eastAsia="楷体"/>
                <w:color w:val="auto"/>
                <w:lang w:eastAsia="zh-CN"/>
              </w:rPr>
              <w:t>（</w:t>
            </w:r>
            <w:r>
              <w:rPr>
                <w:rFonts w:hint="eastAsia" w:eastAsia="楷体"/>
                <w:color w:val="auto"/>
                <w:lang w:val="en-US" w:eastAsia="zh-CN"/>
              </w:rPr>
              <w:t>1</w:t>
            </w:r>
            <w:r>
              <w:rPr>
                <w:rFonts w:hint="eastAsia" w:eastAsia="楷体"/>
                <w:color w:val="auto"/>
                <w:lang w:eastAsia="zh-CN"/>
              </w:rPr>
              <w:t>）</w:t>
            </w:r>
            <w:r>
              <w:rPr>
                <w:rFonts w:eastAsia="楷体"/>
                <w:color w:val="auto"/>
              </w:rPr>
              <w:t>После подписания договора, при предоставлении продавцом счета на оплату в размере 20% от общей стоимости договора, покупатель в течение 5 (пяти) рабочих дней оплачивает 20% от общей стоимости договора.</w:t>
            </w:r>
          </w:p>
          <w:p>
            <w:pPr>
              <w:pStyle w:val="34"/>
              <w:numPr>
                <w:ilvl w:val="0"/>
                <w:numId w:val="0"/>
              </w:numPr>
              <w:tabs>
                <w:tab w:val="left" w:pos="0"/>
              </w:tabs>
              <w:ind w:leftChars="0"/>
              <w:rPr>
                <w:rFonts w:eastAsia="楷体"/>
                <w:color w:val="auto"/>
              </w:rPr>
            </w:pPr>
            <w:r>
              <w:rPr>
                <w:rFonts w:hint="eastAsia" w:eastAsia="楷体"/>
                <w:color w:val="auto"/>
                <w:lang w:eastAsia="zh-CN"/>
              </w:rPr>
              <w:t>（</w:t>
            </w:r>
            <w:r>
              <w:rPr>
                <w:rFonts w:hint="eastAsia" w:eastAsia="楷体"/>
                <w:color w:val="auto"/>
                <w:lang w:val="en-US" w:eastAsia="zh-CN"/>
              </w:rPr>
              <w:t>2</w:t>
            </w:r>
            <w:r>
              <w:rPr>
                <w:rFonts w:hint="eastAsia" w:eastAsia="楷体"/>
                <w:color w:val="auto"/>
                <w:lang w:eastAsia="zh-CN"/>
              </w:rPr>
              <w:t>）</w:t>
            </w:r>
            <w:r>
              <w:rPr>
                <w:rFonts w:eastAsia="楷体"/>
                <w:color w:val="auto"/>
              </w:rPr>
              <w:t>После предоставления продавцом технической документации на оборудование в соответствии с требованиями покупателя и выставления счета на оплату в размере 20% от общей стоимости договора, покупатель в течение 5 (пяти) рабочих дней оплачивает 20% от общей стоимости договора.</w:t>
            </w:r>
          </w:p>
          <w:p>
            <w:pPr>
              <w:pStyle w:val="34"/>
              <w:numPr>
                <w:ilvl w:val="0"/>
                <w:numId w:val="0"/>
              </w:numPr>
              <w:tabs>
                <w:tab w:val="left" w:pos="0"/>
              </w:tabs>
              <w:ind w:leftChars="0"/>
              <w:rPr>
                <w:rFonts w:eastAsia="楷体"/>
                <w:color w:val="auto"/>
              </w:rPr>
            </w:pPr>
            <w:r>
              <w:rPr>
                <w:rFonts w:hint="eastAsia" w:eastAsia="楷体"/>
                <w:color w:val="auto"/>
                <w:lang w:eastAsia="zh-CN"/>
              </w:rPr>
              <w:t>（</w:t>
            </w:r>
            <w:r>
              <w:rPr>
                <w:rFonts w:hint="eastAsia" w:eastAsia="楷体"/>
                <w:color w:val="auto"/>
                <w:lang w:val="en-US" w:eastAsia="zh-CN"/>
              </w:rPr>
              <w:t>3</w:t>
            </w:r>
            <w:r>
              <w:rPr>
                <w:rFonts w:hint="eastAsia" w:eastAsia="楷体"/>
                <w:color w:val="auto"/>
                <w:lang w:eastAsia="zh-CN"/>
              </w:rPr>
              <w:t>）</w:t>
            </w:r>
            <w:r>
              <w:rPr>
                <w:rFonts w:eastAsia="楷体"/>
                <w:color w:val="auto"/>
              </w:rPr>
              <w:t>После предоставления продавцом подтверждающих документов о готовности товара к отгрузке и выставления счета на оплату в размере 30% от общей стоимости договора, покупатель в течение 5 (пяти) рабочих дней оплачивает 30% от общей стоимости договора.</w:t>
            </w:r>
          </w:p>
          <w:p>
            <w:pPr>
              <w:pStyle w:val="34"/>
              <w:numPr>
                <w:ilvl w:val="0"/>
                <w:numId w:val="0"/>
              </w:numPr>
              <w:tabs>
                <w:tab w:val="left" w:pos="0"/>
              </w:tabs>
              <w:ind w:leftChars="0"/>
              <w:rPr>
                <w:rFonts w:eastAsia="楷体"/>
                <w:color w:val="auto"/>
              </w:rPr>
            </w:pPr>
            <w:r>
              <w:rPr>
                <w:rFonts w:hint="eastAsia" w:eastAsia="楷体"/>
                <w:color w:val="auto"/>
                <w:lang w:eastAsia="zh-CN"/>
              </w:rPr>
              <w:t>（</w:t>
            </w:r>
            <w:r>
              <w:rPr>
                <w:rFonts w:hint="eastAsia" w:eastAsia="楷体"/>
                <w:color w:val="auto"/>
                <w:lang w:val="en-US" w:eastAsia="zh-CN"/>
              </w:rPr>
              <w:t>4</w:t>
            </w:r>
            <w:r>
              <w:rPr>
                <w:rFonts w:hint="eastAsia" w:eastAsia="楷体"/>
                <w:color w:val="auto"/>
                <w:lang w:eastAsia="zh-CN"/>
              </w:rPr>
              <w:t>）</w:t>
            </w:r>
            <w:r>
              <w:rPr>
                <w:rFonts w:eastAsia="楷体"/>
                <w:color w:val="auto"/>
              </w:rPr>
              <w:t>После завершения продавцом монтажных и пуско-наладочных работ, оформления приемочной документации и успешного прохождения приемки покупателем, а также выставления счета на оплату в размере 25% от общей стоимости договора, покупатель в течение 5 (пяти) рабочих дней оплачивает 25% от общей стоимости договора.</w:t>
            </w:r>
          </w:p>
          <w:p>
            <w:pPr>
              <w:pStyle w:val="34"/>
              <w:numPr>
                <w:ilvl w:val="0"/>
                <w:numId w:val="0"/>
              </w:numPr>
              <w:tabs>
                <w:tab w:val="left" w:pos="0"/>
              </w:tabs>
              <w:ind w:leftChars="0"/>
              <w:rPr>
                <w:rFonts w:eastAsia="楷体"/>
                <w:color w:val="auto"/>
                <w:highlight w:val="yellow"/>
              </w:rPr>
            </w:pPr>
            <w:r>
              <w:rPr>
                <w:rFonts w:hint="eastAsia" w:eastAsia="楷体"/>
                <w:color w:val="auto"/>
                <w:lang w:eastAsia="zh-CN"/>
              </w:rPr>
              <w:t>（</w:t>
            </w:r>
            <w:r>
              <w:rPr>
                <w:rFonts w:hint="eastAsia" w:eastAsia="楷体"/>
                <w:color w:val="auto"/>
                <w:lang w:val="en-US" w:eastAsia="zh-CN"/>
              </w:rPr>
              <w:t>5</w:t>
            </w:r>
            <w:r>
              <w:rPr>
                <w:rFonts w:hint="eastAsia" w:eastAsia="楷体"/>
                <w:color w:val="auto"/>
                <w:lang w:eastAsia="zh-CN"/>
              </w:rPr>
              <w:t>）</w:t>
            </w:r>
            <w:r>
              <w:rPr>
                <w:rFonts w:eastAsia="楷体"/>
                <w:color w:val="auto"/>
              </w:rPr>
              <w:t>После завершения продавцом одного года сервисного обслуживания и технического обслуживания и выдачи покупателем окончательного акта приемки, а также выставления счета на оплату в размере 5% от общей стоимости договора, покупатель в течение 5 (пяти) рабочих дней оплачивает 5% от общей стоимости договора.</w:t>
            </w:r>
          </w:p>
        </w:tc>
        <w:tc>
          <w:tcPr>
            <w:tcW w:w="2148" w:type="pct"/>
            <w:vAlign w:val="center"/>
          </w:tcPr>
          <w:p>
            <w:pPr>
              <w:pStyle w:val="148"/>
              <w:jc w:val="both"/>
              <w:rPr>
                <w:rFonts w:ascii="Times New Roman" w:hAnsi="Times New Roman" w:eastAsia="楷体" w:cs="Times New Roman"/>
                <w:bCs/>
                <w:color w:val="auto"/>
                <w:sz w:val="24"/>
                <w:szCs w:val="24"/>
                <w:lang w:eastAsia="zh-CN"/>
              </w:rPr>
            </w:pPr>
            <w:r>
              <w:rPr>
                <w:rFonts w:ascii="Times New Roman" w:hAnsi="Times New Roman" w:eastAsia="楷体" w:cs="Times New Roman"/>
                <w:bCs/>
                <w:color w:val="auto"/>
                <w:sz w:val="24"/>
                <w:szCs w:val="24"/>
                <w:lang w:val="ru-RU" w:eastAsia="zh-CN"/>
              </w:rPr>
              <w:t xml:space="preserve">5.1 </w:t>
            </w:r>
            <w:r>
              <w:rPr>
                <w:rFonts w:hint="eastAsia" w:ascii="Times New Roman" w:hAnsi="Times New Roman" w:eastAsia="楷体" w:cs="Times New Roman"/>
                <w:bCs/>
                <w:color w:val="auto"/>
                <w:sz w:val="24"/>
                <w:szCs w:val="24"/>
                <w:lang w:eastAsia="zh-CN"/>
              </w:rPr>
              <w:t>本合同总价为*****坚戈</w:t>
            </w:r>
            <w:r>
              <w:rPr>
                <w:rFonts w:hint="eastAsia" w:ascii="Times New Roman" w:hAnsi="Times New Roman" w:eastAsia="楷体" w:cs="Times New Roman"/>
                <w:bCs/>
                <w:color w:val="auto"/>
                <w:sz w:val="24"/>
                <w:szCs w:val="24"/>
                <w:lang w:val="ru-RU" w:eastAsia="zh-CN"/>
              </w:rPr>
              <w:t>（</w:t>
            </w:r>
            <w:r>
              <w:rPr>
                <w:rFonts w:hint="eastAsia" w:ascii="Times New Roman" w:hAnsi="Times New Roman" w:eastAsia="楷体" w:cs="Times New Roman"/>
                <w:bCs/>
                <w:color w:val="auto"/>
                <w:sz w:val="24"/>
                <w:szCs w:val="24"/>
                <w:lang w:eastAsia="zh-CN"/>
              </w:rPr>
              <w:t>增值税税率为*****</w:t>
            </w:r>
            <w:r>
              <w:rPr>
                <w:rFonts w:ascii="Times New Roman" w:hAnsi="Times New Roman" w:eastAsia="楷体" w:cs="Times New Roman"/>
                <w:bCs/>
                <w:color w:val="auto"/>
                <w:sz w:val="24"/>
                <w:szCs w:val="24"/>
                <w:lang w:val="ru-RU" w:eastAsia="zh-CN"/>
              </w:rPr>
              <w:t>%</w:t>
            </w:r>
            <w:r>
              <w:rPr>
                <w:rFonts w:hint="eastAsia" w:ascii="Times New Roman" w:hAnsi="Times New Roman" w:eastAsia="楷体" w:cs="Times New Roman"/>
                <w:bCs/>
                <w:color w:val="auto"/>
                <w:sz w:val="24"/>
                <w:szCs w:val="24"/>
                <w:lang w:val="ru-RU" w:eastAsia="zh-CN"/>
              </w:rPr>
              <w:t>）</w:t>
            </w:r>
            <w:r>
              <w:rPr>
                <w:rFonts w:hint="eastAsia" w:ascii="Times New Roman" w:hAnsi="Times New Roman" w:eastAsia="楷体" w:cs="Times New Roman"/>
                <w:bCs/>
                <w:color w:val="auto"/>
                <w:sz w:val="24"/>
                <w:szCs w:val="24"/>
                <w:lang w:eastAsia="zh-CN"/>
              </w:rPr>
              <w:t>。</w:t>
            </w:r>
          </w:p>
          <w:p>
            <w:pPr>
              <w:pStyle w:val="148"/>
              <w:jc w:val="both"/>
              <w:rPr>
                <w:rFonts w:ascii="Times New Roman" w:hAnsi="Times New Roman" w:eastAsia="楷体" w:cs="Times New Roman"/>
                <w:bCs/>
                <w:color w:val="auto"/>
                <w:sz w:val="24"/>
                <w:szCs w:val="24"/>
                <w:lang w:eastAsia="zh-CN"/>
              </w:rPr>
            </w:pPr>
            <w:r>
              <w:rPr>
                <w:rFonts w:hint="eastAsia" w:ascii="Times New Roman" w:hAnsi="Times New Roman" w:eastAsia="楷体" w:cs="Times New Roman"/>
                <w:bCs/>
                <w:color w:val="auto"/>
                <w:sz w:val="24"/>
                <w:szCs w:val="24"/>
                <w:lang w:eastAsia="zh-CN"/>
              </w:rPr>
              <w:t>（1）合同签订后，</w:t>
            </w:r>
            <w:bookmarkStart w:id="5" w:name="OLE_LINK2"/>
            <w:r>
              <w:rPr>
                <w:rFonts w:hint="eastAsia" w:ascii="Times New Roman" w:hAnsi="Times New Roman" w:eastAsia="楷体" w:cs="Times New Roman"/>
                <w:bCs/>
                <w:color w:val="auto"/>
                <w:sz w:val="24"/>
                <w:szCs w:val="24"/>
                <w:lang w:eastAsia="zh-CN"/>
              </w:rPr>
              <w:t>卖方提供合同总价20%的付款账单后，买方5个工作日内支付合同总价的20%。</w:t>
            </w:r>
          </w:p>
          <w:bookmarkEnd w:id="5"/>
          <w:p>
            <w:pPr>
              <w:pStyle w:val="148"/>
              <w:jc w:val="both"/>
              <w:rPr>
                <w:rFonts w:ascii="Times New Roman" w:hAnsi="Times New Roman" w:eastAsia="楷体" w:cs="Times New Roman"/>
                <w:bCs/>
                <w:color w:val="auto"/>
                <w:sz w:val="24"/>
                <w:szCs w:val="24"/>
                <w:lang w:eastAsia="zh-CN"/>
              </w:rPr>
            </w:pPr>
            <w:r>
              <w:rPr>
                <w:rFonts w:hint="eastAsia" w:ascii="Times New Roman" w:hAnsi="Times New Roman" w:eastAsia="楷体" w:cs="Times New Roman"/>
                <w:bCs/>
                <w:color w:val="auto"/>
                <w:sz w:val="24"/>
                <w:szCs w:val="24"/>
                <w:lang w:eastAsia="zh-CN"/>
              </w:rPr>
              <w:t>（2）卖方按照买方的要求提供设备资料后，卖方提供</w:t>
            </w:r>
            <w:bookmarkStart w:id="6" w:name="OLE_LINK3"/>
            <w:r>
              <w:rPr>
                <w:rFonts w:hint="eastAsia" w:ascii="Times New Roman" w:hAnsi="Times New Roman" w:eastAsia="楷体" w:cs="Times New Roman"/>
                <w:bCs/>
                <w:color w:val="auto"/>
                <w:sz w:val="24"/>
                <w:szCs w:val="24"/>
                <w:lang w:eastAsia="zh-CN"/>
              </w:rPr>
              <w:t>合同总价20%的付款账单后，买方5个工作日内支付合同总价的20%。</w:t>
            </w:r>
          </w:p>
          <w:bookmarkEnd w:id="6"/>
          <w:p>
            <w:pPr>
              <w:pStyle w:val="148"/>
              <w:jc w:val="both"/>
              <w:rPr>
                <w:rFonts w:ascii="Times New Roman" w:hAnsi="Times New Roman" w:eastAsia="楷体" w:cs="Times New Roman"/>
                <w:bCs/>
                <w:color w:val="auto"/>
                <w:sz w:val="24"/>
                <w:szCs w:val="24"/>
                <w:lang w:eastAsia="zh-CN"/>
              </w:rPr>
            </w:pPr>
            <w:r>
              <w:rPr>
                <w:rFonts w:hint="eastAsia" w:ascii="Times New Roman" w:hAnsi="Times New Roman" w:eastAsia="楷体" w:cs="Times New Roman"/>
                <w:bCs/>
                <w:color w:val="auto"/>
                <w:sz w:val="24"/>
                <w:szCs w:val="24"/>
                <w:lang w:eastAsia="zh-CN"/>
              </w:rPr>
              <w:t>（3）卖方提供具备发货条件相关证明材料，并提供合同总价30%的付款账单后，买方5个工作日内支付合同总价的30%。</w:t>
            </w:r>
          </w:p>
          <w:p>
            <w:pPr>
              <w:pStyle w:val="148"/>
              <w:jc w:val="both"/>
              <w:rPr>
                <w:rFonts w:ascii="Times New Roman" w:hAnsi="Times New Roman" w:eastAsia="楷体" w:cs="Times New Roman"/>
                <w:bCs/>
                <w:color w:val="auto"/>
                <w:sz w:val="24"/>
                <w:szCs w:val="24"/>
                <w:lang w:eastAsia="zh-CN"/>
              </w:rPr>
            </w:pPr>
            <w:r>
              <w:rPr>
                <w:rFonts w:hint="eastAsia" w:ascii="Times New Roman" w:hAnsi="Times New Roman" w:eastAsia="楷体" w:cs="Times New Roman"/>
                <w:bCs/>
                <w:color w:val="auto"/>
                <w:sz w:val="24"/>
                <w:szCs w:val="24"/>
                <w:lang w:eastAsia="zh-CN"/>
              </w:rPr>
              <w:t>（4）卖方完成安装、调试工作，完成验收资料并经过买方验收通过后，</w:t>
            </w:r>
            <w:bookmarkStart w:id="7" w:name="OLE_LINK4"/>
            <w:r>
              <w:rPr>
                <w:rFonts w:hint="eastAsia" w:ascii="Times New Roman" w:hAnsi="Times New Roman" w:eastAsia="楷体" w:cs="Times New Roman"/>
                <w:bCs/>
                <w:color w:val="auto"/>
                <w:sz w:val="24"/>
                <w:szCs w:val="24"/>
                <w:lang w:eastAsia="zh-CN"/>
              </w:rPr>
              <w:t>提供合同总价25%的付款账单后，买方5个工作日内支付合同总价的25%。</w:t>
            </w:r>
            <w:bookmarkEnd w:id="7"/>
          </w:p>
          <w:p>
            <w:pPr>
              <w:pStyle w:val="148"/>
              <w:jc w:val="both"/>
              <w:rPr>
                <w:rFonts w:ascii="Times New Roman" w:hAnsi="Times New Roman" w:eastAsia="楷体" w:cs="Times New Roman"/>
                <w:color w:val="auto"/>
                <w:sz w:val="24"/>
                <w:lang w:val="ru-RU" w:eastAsia="zh-CN"/>
              </w:rPr>
            </w:pPr>
            <w:r>
              <w:rPr>
                <w:rFonts w:hint="eastAsia" w:ascii="Times New Roman" w:hAnsi="Times New Roman" w:eastAsia="楷体" w:cs="Times New Roman"/>
                <w:bCs/>
                <w:color w:val="auto"/>
                <w:sz w:val="24"/>
                <w:szCs w:val="24"/>
                <w:lang w:eastAsia="zh-CN"/>
              </w:rPr>
              <w:t>（5）卖方完成一年维修保养服务且买方出具最终验收证书后，提供合同总价5%的付款账单后，买方5个工作日内支付合同总价的5%。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rPr>
              <w:t>5.</w:t>
            </w:r>
            <w:r>
              <w:rPr>
                <w:rFonts w:eastAsia="楷体"/>
                <w:color w:val="000000"/>
                <w:lang w:val="kk-KZ"/>
              </w:rPr>
              <w:t>2</w:t>
            </w:r>
            <w:r>
              <w:rPr>
                <w:rFonts w:eastAsia="楷体"/>
                <w:color w:val="000000"/>
              </w:rPr>
              <w:t>. Оплата производится путем внесения наличных денежных средств в кассу Поставщика, либо в безналичном порядке на расчетный счет (карту) Поставщика.</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5.2 </w:t>
            </w:r>
            <w:r>
              <w:rPr>
                <w:rFonts w:ascii="Times New Roman" w:hAnsi="Times New Roman" w:eastAsia="楷体" w:cs="Times New Roman"/>
                <w:bCs/>
                <w:color w:val="000000" w:themeColor="text1"/>
                <w:sz w:val="24"/>
                <w:szCs w:val="24"/>
                <w:lang w:eastAsia="zh-CN"/>
                <w14:textFill>
                  <w14:solidFill>
                    <w14:schemeClr w14:val="tx1"/>
                  </w14:solidFill>
                </w14:textFill>
              </w:rPr>
              <w:t>付款可通过以下方式完成</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以非现金方式汇入卖方的银行账户</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或银行卡</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rPr>
              <w:t>5.</w:t>
            </w:r>
            <w:r>
              <w:rPr>
                <w:rFonts w:eastAsia="楷体"/>
                <w:color w:val="000000"/>
                <w:lang w:val="kk-KZ"/>
              </w:rPr>
              <w:t>3</w:t>
            </w:r>
            <w:r>
              <w:rPr>
                <w:rFonts w:eastAsia="楷体"/>
                <w:color w:val="000000"/>
              </w:rPr>
              <w:t>. Поставщик не вправе в одностороннем (в уведомительном) порядке изменять покупную цену товара в сторону увеличения.</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5.3 </w:t>
            </w:r>
            <w:r>
              <w:rPr>
                <w:rFonts w:ascii="Times New Roman" w:hAnsi="Times New Roman" w:eastAsia="楷体" w:cs="Times New Roman"/>
                <w:bCs/>
                <w:color w:val="000000" w:themeColor="text1"/>
                <w:sz w:val="24"/>
                <w:szCs w:val="24"/>
                <w:lang w:eastAsia="zh-CN"/>
                <w14:textFill>
                  <w14:solidFill>
                    <w14:schemeClr w14:val="tx1"/>
                  </w14:solidFill>
                </w14:textFill>
              </w:rPr>
              <w:t>卖方不得单方面</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包括通知方式</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提高货物的采购价格。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rPr>
                <w:rFonts w:eastAsia="楷体"/>
                <w:b/>
                <w:szCs w:val="28"/>
                <w:lang w:eastAsia="zh-CN"/>
              </w:rPr>
            </w:pPr>
            <w:r>
              <w:rPr>
                <w:rFonts w:eastAsia="楷体"/>
                <w:b/>
                <w:bCs/>
              </w:rPr>
              <w:t>5.4</w:t>
            </w:r>
            <w:r>
              <w:rPr>
                <w:rFonts w:eastAsia="楷体"/>
              </w:rPr>
              <w:t xml:space="preserve"> Указанная выше цена товара включает налог на добавленную стоимость (НДС) по ставке </w:t>
            </w:r>
            <w:r>
              <w:rPr>
                <w:rFonts w:eastAsia="楷体"/>
                <w:lang w:eastAsia="zh-CN"/>
              </w:rPr>
              <w:t>_____</w:t>
            </w:r>
            <w:r>
              <w:rPr>
                <w:rFonts w:eastAsia="楷体"/>
              </w:rPr>
              <w:t>%.</w:t>
            </w:r>
          </w:p>
        </w:tc>
        <w:tc>
          <w:tcPr>
            <w:tcW w:w="2148" w:type="pct"/>
            <w:vAlign w:val="center"/>
          </w:tcPr>
          <w:p>
            <w:pPr>
              <w:pStyle w:val="148"/>
              <w:jc w:val="both"/>
              <w:rPr>
                <w:rFonts w:ascii="Times New Roman" w:hAnsi="Times New Roman" w:eastAsia="楷体" w:cs="Times New Roman"/>
                <w:b/>
                <w:sz w:val="28"/>
                <w:szCs w:val="28"/>
                <w:lang w:eastAsia="zh-CN"/>
              </w:rPr>
            </w:pPr>
            <w:r>
              <w:rPr>
                <w:rFonts w:ascii="Times New Roman" w:hAnsi="Times New Roman" w:eastAsia="楷体" w:cs="Times New Roman"/>
                <w:bCs/>
                <w:color w:val="auto"/>
                <w:sz w:val="24"/>
                <w:szCs w:val="24"/>
                <w:lang w:eastAsia="zh-CN"/>
              </w:rPr>
              <w:t xml:space="preserve">5.4 </w:t>
            </w:r>
            <w:r>
              <w:rPr>
                <w:rFonts w:hint="eastAsia" w:ascii="Times New Roman" w:hAnsi="Times New Roman" w:eastAsia="楷体" w:cs="Times New Roman"/>
                <w:bCs/>
                <w:color w:val="auto"/>
                <w:sz w:val="24"/>
                <w:szCs w:val="24"/>
                <w:lang w:eastAsia="zh-CN"/>
              </w:rPr>
              <w:t>上述货物价格含增值税（增值税率******</w:t>
            </w:r>
            <w:r>
              <w:rPr>
                <w:rFonts w:ascii="Times New Roman" w:hAnsi="Times New Roman" w:eastAsia="楷体" w:cs="Times New Roman"/>
                <w:bCs/>
                <w:color w:val="auto"/>
                <w:sz w:val="24"/>
                <w:szCs w:val="24"/>
                <w:lang w:eastAsia="zh-CN"/>
              </w:rPr>
              <w:t>%</w:t>
            </w:r>
            <w:r>
              <w:rPr>
                <w:rFonts w:hint="eastAsia" w:ascii="Times New Roman" w:hAnsi="Times New Roman" w:eastAsia="楷体" w:cs="Times New Roman"/>
                <w:bCs/>
                <w:color w:val="auto"/>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color w:val="000000"/>
              </w:rPr>
              <w:t>5.</w:t>
            </w:r>
            <w:r>
              <w:rPr>
                <w:rFonts w:eastAsia="楷体"/>
                <w:color w:val="000000"/>
                <w:lang w:val="kk-KZ"/>
              </w:rPr>
              <w:t>5</w:t>
            </w:r>
            <w:r>
              <w:rPr>
                <w:rFonts w:eastAsia="楷体"/>
                <w:color w:val="000000"/>
              </w:rPr>
              <w:t>. Поставщик обязан по основаниям, в сроки и в форме, которые предусмотрены законодательством, выставить в адрес Покупателя налоговую счёт-фактуру.</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5.5 </w:t>
            </w:r>
            <w:r>
              <w:rPr>
                <w:rFonts w:ascii="Times New Roman" w:hAnsi="Times New Roman" w:eastAsia="楷体" w:cs="Times New Roman"/>
                <w:bCs/>
                <w:color w:val="000000" w:themeColor="text1"/>
                <w:sz w:val="24"/>
                <w:szCs w:val="24"/>
                <w:lang w:eastAsia="zh-CN"/>
                <w14:textFill>
                  <w14:solidFill>
                    <w14:schemeClr w14:val="tx1"/>
                  </w14:solidFill>
                </w14:textFill>
              </w:rPr>
              <w:t>卖方应根据哈萨克斯坦法律规定</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在规定期限内</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以法定形式向买方开具税务发票。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val="en-US" w:eastAsia="zh-CN"/>
                <w14:textFill>
                  <w14:solidFill>
                    <w14:schemeClr w14:val="tx1"/>
                  </w14:solidFill>
                </w14:textFill>
              </w:rPr>
            </w:pPr>
            <w:r>
              <w:rPr>
                <w:rFonts w:eastAsia="楷体"/>
                <w:b/>
                <w:bCs/>
                <w:color w:val="000000"/>
                <w:lang w:val="kk-KZ"/>
              </w:rPr>
              <w:t>6</w:t>
            </w:r>
            <w:r>
              <w:rPr>
                <w:rFonts w:eastAsia="楷体"/>
                <w:color w:val="000000"/>
                <w:lang w:val="kk-KZ"/>
              </w:rPr>
              <w:t>.</w:t>
            </w:r>
            <w:r>
              <w:rPr>
                <w:rFonts w:eastAsia="楷体"/>
                <w:b/>
                <w:color w:val="000000"/>
              </w:rPr>
              <w:t xml:space="preserve"> Права и обязанности Сторон</w:t>
            </w:r>
          </w:p>
        </w:tc>
        <w:tc>
          <w:tcPr>
            <w:tcW w:w="2148" w:type="pct"/>
            <w:vAlign w:val="center"/>
          </w:tcPr>
          <w:p>
            <w:pPr>
              <w:pStyle w:val="148"/>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6. 双方的权利与义务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exact"/>
              <w:jc w:val="both"/>
              <w:rPr>
                <w:rFonts w:ascii="Times New Roman" w:hAnsi="Times New Roman" w:eastAsia="楷体" w:cs="Times New Roman"/>
                <w:color w:val="000000" w:themeColor="text1"/>
                <w:szCs w:val="28"/>
                <w:highlight w:val="yellow"/>
                <w:lang w:eastAsia="zh-CN"/>
                <w14:textFill>
                  <w14:solidFill>
                    <w14:schemeClr w14:val="tx1"/>
                  </w14:solidFill>
                </w14:textFill>
              </w:rPr>
            </w:pPr>
            <w:r>
              <w:rPr>
                <w:rFonts w:ascii="Times New Roman" w:hAnsi="Times New Roman" w:eastAsia="楷体" w:cs="Times New Roman"/>
                <w:b/>
                <w:bCs/>
                <w:color w:val="000000"/>
                <w:lang w:val="kk-KZ"/>
              </w:rPr>
              <w:t>6</w:t>
            </w:r>
            <w:r>
              <w:rPr>
                <w:rFonts w:ascii="Times New Roman" w:hAnsi="Times New Roman" w:eastAsia="楷体" w:cs="Times New Roman"/>
                <w:b/>
                <w:bCs/>
                <w:color w:val="000000"/>
              </w:rPr>
              <w:t>.1</w:t>
            </w:r>
            <w:r>
              <w:rPr>
                <w:rFonts w:ascii="Times New Roman" w:hAnsi="Times New Roman" w:eastAsia="楷体" w:cs="Times New Roman"/>
                <w:color w:val="000000"/>
              </w:rPr>
              <w:t>.</w:t>
            </w:r>
            <w:r>
              <w:rPr>
                <w:rFonts w:ascii="Times New Roman" w:hAnsi="Times New Roman" w:eastAsia="楷体" w:cs="Times New Roman"/>
                <w:b/>
                <w:color w:val="000000"/>
                <w:lang w:val="kk-KZ"/>
              </w:rPr>
              <w:t xml:space="preserve">Покупатель </w:t>
            </w:r>
            <w:r>
              <w:rPr>
                <w:rFonts w:ascii="Times New Roman" w:hAnsi="Times New Roman" w:eastAsia="楷体" w:cs="Times New Roman"/>
                <w:b/>
                <w:color w:val="000000"/>
              </w:rPr>
              <w:t xml:space="preserve"> обязуется:</w:t>
            </w:r>
          </w:p>
        </w:tc>
        <w:tc>
          <w:tcPr>
            <w:tcW w:w="2148" w:type="pct"/>
            <w:vAlign w:val="center"/>
          </w:tcPr>
          <w:p>
            <w:pPr>
              <w:pStyle w:val="148"/>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6.1 买方应履行以下义务：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rPr>
                <w:rFonts w:eastAsia="楷体"/>
                <w:color w:val="000000" w:themeColor="text1"/>
                <w:szCs w:val="28"/>
                <w:highlight w:val="yellow"/>
                <w:lang w:eastAsia="zh-CN"/>
                <w14:textFill>
                  <w14:solidFill>
                    <w14:schemeClr w14:val="tx1"/>
                  </w14:solidFill>
                </w14:textFill>
              </w:rPr>
            </w:pPr>
            <w:r>
              <w:rPr>
                <w:rStyle w:val="138"/>
                <w:rFonts w:eastAsia="楷体"/>
                <w:b w:val="0"/>
              </w:rPr>
              <w:t>6.1.1 Принимать, проверять и оплачивать товары в соответствии со сроками, суммами и условиями, установленными настоящим договором;</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6.1.1. </w:t>
            </w:r>
            <w:r>
              <w:rPr>
                <w:rFonts w:ascii="Times New Roman" w:hAnsi="Times New Roman" w:eastAsia="楷体" w:cs="Times New Roman"/>
                <w:bCs/>
                <w:color w:val="000000" w:themeColor="text1"/>
                <w:sz w:val="24"/>
                <w:szCs w:val="24"/>
                <w:lang w:eastAsia="zh-CN"/>
                <w14:textFill>
                  <w14:solidFill>
                    <w14:schemeClr w14:val="tx1"/>
                  </w14:solidFill>
                </w14:textFill>
              </w:rPr>
              <w:t>按照本合同规定的期限、金额和条件对货物进行接收、验收和付款</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exact"/>
              <w:jc w:val="both"/>
              <w:rPr>
                <w:rFonts w:ascii="Times New Roman" w:hAnsi="Times New Roman" w:eastAsia="楷体" w:cs="Times New Roman"/>
                <w:color w:val="000000" w:themeColor="text1"/>
                <w:szCs w:val="28"/>
                <w:highlight w:val="yellow"/>
                <w:lang w:val="ru-RU" w:eastAsia="zh-CN"/>
                <w14:textFill>
                  <w14:solidFill>
                    <w14:schemeClr w14:val="tx1"/>
                  </w14:solidFill>
                </w14:textFill>
              </w:rPr>
            </w:pPr>
            <w:r>
              <w:rPr>
                <w:rFonts w:ascii="Times New Roman" w:hAnsi="Times New Roman" w:eastAsia="楷体" w:cs="Times New Roman"/>
                <w:color w:val="000000"/>
                <w:szCs w:val="24"/>
                <w:lang w:val="kk-KZ"/>
              </w:rPr>
              <w:t>6.1.2. давать по запросу Поставщика  разъяснения и документацию, необходимые последнему для</w:t>
            </w:r>
            <w:r>
              <w:rPr>
                <w:rFonts w:ascii="Times New Roman" w:hAnsi="Times New Roman" w:eastAsia="楷体" w:cs="Times New Roman"/>
                <w:color w:val="000000"/>
                <w:lang w:val="kk-KZ"/>
              </w:rPr>
              <w:t xml:space="preserve"> надлежащего выполнения Работы по настоящему Договору.</w:t>
            </w:r>
          </w:p>
        </w:tc>
        <w:tc>
          <w:tcPr>
            <w:tcW w:w="2148" w:type="pct"/>
            <w:vAlign w:val="center"/>
          </w:tcPr>
          <w:p>
            <w:pPr>
              <w:pStyle w:val="148"/>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6.1.2. 应卖方要求，提供为卖方妥善履行本合同项下供货义务所必需的说明和相关文件资料。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exact"/>
              <w:jc w:val="both"/>
              <w:rPr>
                <w:rFonts w:ascii="Times New Roman" w:hAnsi="Times New Roman" w:eastAsia="楷体" w:cs="Times New Roman"/>
                <w:color w:val="000000"/>
                <w:szCs w:val="24"/>
                <w:lang w:val="ru-RU" w:eastAsia="zh-CN"/>
              </w:rPr>
            </w:pPr>
            <w:r>
              <w:rPr>
                <w:rFonts w:ascii="Times New Roman" w:hAnsi="Times New Roman" w:eastAsia="楷体" w:cs="Times New Roman"/>
                <w:color w:val="000000"/>
                <w:szCs w:val="24"/>
                <w:lang w:val="ru-RU" w:eastAsia="zh-CN"/>
              </w:rPr>
              <w:t>6.1.3. Покупатель должен обеспечить Продавцу необходимые условия для выполнения работ по установке, наладке и техническому обслуживанию, включая электроэнергию, механическое оборудование и т.п. Инструменты, оборудование и расходные материалы, необходимые Продавцу для установки и наладки лифта, обеспечиваются Продавцом за свой счёт.</w:t>
            </w:r>
          </w:p>
        </w:tc>
        <w:tc>
          <w:tcPr>
            <w:tcW w:w="2148" w:type="pct"/>
            <w:vAlign w:val="center"/>
          </w:tcPr>
          <w:p>
            <w:pPr>
              <w:pStyle w:val="148"/>
              <w:jc w:val="both"/>
              <w:rPr>
                <w:rFonts w:ascii="Times New Roman" w:hAnsi="Times New Roman" w:eastAsia="楷体" w:cs="Times New Roman"/>
                <w:bCs/>
                <w:color w:val="auto"/>
                <w:sz w:val="24"/>
                <w:szCs w:val="24"/>
                <w:lang w:eastAsia="zh-CN"/>
              </w:rPr>
            </w:pPr>
            <w:r>
              <w:rPr>
                <w:rFonts w:hint="eastAsia" w:ascii="Times New Roman" w:hAnsi="Times New Roman" w:eastAsia="楷体" w:cs="Times New Roman"/>
                <w:bCs/>
                <w:color w:val="auto"/>
                <w:sz w:val="24"/>
                <w:szCs w:val="24"/>
                <w:lang w:eastAsia="zh-CN"/>
              </w:rPr>
              <w:t>6.1.3. 买方应为卖方安装、调试及维护保养提供必备的电源、机械等工作条件。卖方完成电梯的安装、调试所需的工器具、耗材等由卖方自行承担。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val="en-US" w:eastAsia="zh-CN"/>
                <w14:textFill>
                  <w14:solidFill>
                    <w14:schemeClr w14:val="tx1"/>
                  </w14:solidFill>
                </w14:textFill>
              </w:rPr>
            </w:pPr>
            <w:r>
              <w:rPr>
                <w:rFonts w:eastAsia="楷体"/>
                <w:b/>
                <w:bCs/>
                <w:color w:val="000000"/>
                <w:lang w:val="kk-KZ"/>
              </w:rPr>
              <w:t xml:space="preserve">6.2. Поставщик обязуется: </w:t>
            </w:r>
          </w:p>
        </w:tc>
        <w:tc>
          <w:tcPr>
            <w:tcW w:w="2148" w:type="pct"/>
            <w:vAlign w:val="center"/>
          </w:tcPr>
          <w:p>
            <w:pPr>
              <w:pStyle w:val="148"/>
              <w:jc w:val="both"/>
              <w:rPr>
                <w:rFonts w:ascii="Times New Roman" w:hAnsi="Times New Roman" w:eastAsia="楷体" w:cs="Times New Roman"/>
                <w:color w:val="auto"/>
                <w:sz w:val="24"/>
                <w:lang w:eastAsia="zh-CN"/>
              </w:rPr>
            </w:pPr>
            <w:r>
              <w:rPr>
                <w:rFonts w:ascii="Times New Roman" w:hAnsi="Times New Roman" w:eastAsia="楷体" w:cs="Times New Roman"/>
                <w:bCs/>
                <w:color w:val="auto"/>
                <w:sz w:val="24"/>
                <w:szCs w:val="24"/>
                <w:lang w:eastAsia="zh-CN"/>
              </w:rPr>
              <w:t>6.2 卖方应履行以下义务：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color w:val="000000"/>
                <w:lang w:val="kk-KZ"/>
              </w:rPr>
              <w:t xml:space="preserve">6.2.1. </w:t>
            </w:r>
            <w:r>
              <w:rPr>
                <w:rFonts w:eastAsia="楷体"/>
                <w:bCs/>
                <w:color w:val="000000" w:themeColor="text1"/>
                <w14:textFill>
                  <w14:solidFill>
                    <w14:schemeClr w14:val="tx1"/>
                  </w14:solidFill>
                </w14:textFill>
              </w:rPr>
              <w:t>Осуществить поставку товара Покупателю качественно и в надлежащем виде в соответствии с условиями Договора и спецификаций, содержащихся в приложениях к нему.</w:t>
            </w:r>
          </w:p>
        </w:tc>
        <w:tc>
          <w:tcPr>
            <w:tcW w:w="2148" w:type="pct"/>
            <w:vAlign w:val="center"/>
          </w:tcPr>
          <w:p>
            <w:pPr>
              <w:jc w:val="both"/>
              <w:textAlignment w:val="center"/>
              <w:rPr>
                <w:rFonts w:ascii="Times New Roman" w:hAnsi="Times New Roman" w:eastAsia="楷体" w:cs="Times New Roman"/>
                <w:color w:val="auto"/>
                <w:lang w:val="ru-RU" w:eastAsia="zh-CN"/>
              </w:rPr>
            </w:pPr>
            <w:r>
              <w:rPr>
                <w:rFonts w:ascii="Times New Roman" w:hAnsi="Times New Roman" w:eastAsia="楷体" w:cs="Times New Roman"/>
                <w:bCs/>
                <w:color w:val="auto"/>
                <w:szCs w:val="24"/>
                <w:lang w:val="ru-RU" w:eastAsia="zh-CN"/>
              </w:rPr>
              <w:t xml:space="preserve">6.2.1. </w:t>
            </w:r>
            <w:r>
              <w:rPr>
                <w:rFonts w:ascii="Times New Roman" w:hAnsi="Times New Roman" w:eastAsia="楷体" w:cs="Times New Roman"/>
                <w:bCs/>
                <w:color w:val="auto"/>
                <w:szCs w:val="24"/>
                <w:lang w:eastAsia="zh-CN"/>
              </w:rPr>
              <w:t>按照本合同及其附件所规定的条款、规格</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以合格的质量和适当的方式向买方交付货物</w:t>
            </w:r>
            <w:r>
              <w:rPr>
                <w:rFonts w:ascii="Times New Roman" w:hAnsi="Times New Roman" w:eastAsia="楷体" w:cs="Times New Roman"/>
                <w:bCs/>
                <w:color w:val="auto"/>
                <w:szCs w:val="24"/>
                <w:lang w:val="ru-RU"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bCs/>
                <w:color w:val="000000" w:themeColor="text1"/>
                <w:lang w:val="kk-KZ"/>
                <w14:textFill>
                  <w14:solidFill>
                    <w14:schemeClr w14:val="tx1"/>
                  </w14:solidFill>
                </w14:textFill>
              </w:rPr>
              <w:t>6.2.2. Произвести замену ненадлежащего товара, в том числе бракованного.</w:t>
            </w:r>
          </w:p>
        </w:tc>
        <w:tc>
          <w:tcPr>
            <w:tcW w:w="2148" w:type="pct"/>
            <w:vAlign w:val="center"/>
          </w:tcPr>
          <w:p>
            <w:pPr>
              <w:jc w:val="both"/>
              <w:textAlignment w:val="center"/>
              <w:rPr>
                <w:rFonts w:ascii="Times New Roman" w:hAnsi="Times New Roman" w:eastAsia="楷体" w:cs="Times New Roman"/>
                <w:color w:val="auto"/>
                <w:lang w:val="ru-RU" w:eastAsia="zh-CN"/>
              </w:rPr>
            </w:pPr>
            <w:r>
              <w:rPr>
                <w:rFonts w:ascii="Times New Roman" w:hAnsi="Times New Roman" w:eastAsia="楷体" w:cs="Times New Roman"/>
                <w:bCs/>
                <w:color w:val="auto"/>
                <w:szCs w:val="24"/>
                <w:lang w:val="ru-RU" w:eastAsia="zh-CN"/>
              </w:rPr>
              <w:t xml:space="preserve">6.2.2. </w:t>
            </w:r>
            <w:r>
              <w:rPr>
                <w:rFonts w:ascii="Times New Roman" w:hAnsi="Times New Roman" w:eastAsia="楷体" w:cs="Times New Roman"/>
                <w:bCs/>
                <w:color w:val="auto"/>
                <w:szCs w:val="24"/>
                <w:lang w:eastAsia="zh-CN"/>
              </w:rPr>
              <w:t>对不合格货物</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包括存在缺陷或瑕疵的货物</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进行更换。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val="en-US" w:eastAsia="zh-CN"/>
                <w14:textFill>
                  <w14:solidFill>
                    <w14:schemeClr w14:val="tx1"/>
                  </w14:solidFill>
                </w14:textFill>
              </w:rPr>
            </w:pPr>
            <w:r>
              <w:rPr>
                <w:rFonts w:eastAsia="楷体"/>
                <w:b/>
                <w:color w:val="000000"/>
                <w:lang w:val="kk-KZ"/>
              </w:rPr>
              <w:t>7</w:t>
            </w:r>
            <w:r>
              <w:rPr>
                <w:rFonts w:eastAsia="楷体"/>
                <w:b/>
                <w:color w:val="000000"/>
              </w:rPr>
              <w:t>. Ответственность Сторон</w:t>
            </w:r>
          </w:p>
        </w:tc>
        <w:tc>
          <w:tcPr>
            <w:tcW w:w="2148" w:type="pct"/>
            <w:vAlign w:val="center"/>
          </w:tcPr>
          <w:p>
            <w:pPr>
              <w:jc w:val="both"/>
              <w:textAlignment w:val="center"/>
              <w:rPr>
                <w:rFonts w:ascii="Times New Roman" w:hAnsi="Times New Roman" w:eastAsia="楷体" w:cs="Times New Roman"/>
                <w:color w:val="auto"/>
                <w:lang w:eastAsia="zh-CN"/>
              </w:rPr>
            </w:pPr>
            <w:r>
              <w:rPr>
                <w:rFonts w:ascii="Times New Roman" w:hAnsi="Times New Roman" w:eastAsia="楷体" w:cs="Times New Roman"/>
                <w:bCs/>
                <w:color w:val="auto"/>
                <w:szCs w:val="24"/>
                <w:lang w:eastAsia="zh-CN"/>
              </w:rPr>
              <w:t>7. 双方的责任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color w:val="000000"/>
                <w:lang w:val="kk-KZ"/>
              </w:rPr>
              <w:t>7</w:t>
            </w:r>
            <w:r>
              <w:rPr>
                <w:rFonts w:eastAsia="楷体"/>
                <w:color w:val="000000"/>
              </w:rPr>
              <w:t>.1. За неисполнение или ненадлежащее исполнение своих обязательств по Договору Стороны несут ответственность в соответствии с действующим законодательством Республики Казахстан.</w:t>
            </w:r>
          </w:p>
        </w:tc>
        <w:tc>
          <w:tcPr>
            <w:tcW w:w="2148" w:type="pct"/>
            <w:vAlign w:val="center"/>
          </w:tcPr>
          <w:p>
            <w:pPr>
              <w:jc w:val="both"/>
              <w:textAlignment w:val="center"/>
              <w:rPr>
                <w:rFonts w:ascii="Times New Roman" w:hAnsi="Times New Roman" w:eastAsia="楷体" w:cs="Times New Roman"/>
                <w:color w:val="auto"/>
                <w:lang w:eastAsia="zh-CN"/>
              </w:rPr>
            </w:pPr>
            <w:r>
              <w:rPr>
                <w:rFonts w:ascii="Times New Roman" w:hAnsi="Times New Roman" w:eastAsia="楷体" w:cs="Times New Roman"/>
                <w:bCs/>
                <w:color w:val="auto"/>
                <w:szCs w:val="24"/>
                <w:lang w:eastAsia="zh-CN"/>
              </w:rPr>
              <w:t>7.1 如任何一方未履行或未适当履行本合同项下的义务，应按照哈萨克斯坦共和国现行法律法规承担相应责任。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jc w:val="both"/>
              <w:rPr>
                <w:rFonts w:eastAsia="楷体"/>
                <w:color w:val="000000"/>
              </w:rPr>
            </w:pPr>
            <w:r>
              <w:rPr>
                <w:rFonts w:eastAsia="楷体"/>
                <w:color w:val="000000"/>
              </w:rPr>
              <w:t>7.2 В случае задержки Продавцом поставки товара Покупателю, Продавец обязан выплатить Покупателю штраф за нарушение договора. Штраф рассчитывается как 0,1% от стоимости просроченного товара за каждый день просрочки, но общая сумма не должна превышать 10% от общей стоимости товаров по настоящему договору. Штраф начисляется до дня фактического исполнения Продавцом обязательств по поставке, но не более срока действия настоящего договора.</w:t>
            </w:r>
          </w:p>
        </w:tc>
        <w:tc>
          <w:tcPr>
            <w:tcW w:w="2148" w:type="pct"/>
            <w:vAlign w:val="center"/>
          </w:tcPr>
          <w:p>
            <w:pPr>
              <w:jc w:val="both"/>
              <w:textAlignment w:val="center"/>
              <w:rPr>
                <w:rFonts w:ascii="Times New Roman" w:hAnsi="Times New Roman" w:eastAsia="楷体" w:cs="Times New Roman"/>
                <w:color w:val="auto"/>
                <w:lang w:eastAsia="zh-CN"/>
              </w:rPr>
            </w:pPr>
            <w:r>
              <w:rPr>
                <w:rFonts w:ascii="Times New Roman" w:hAnsi="Times New Roman" w:eastAsia="楷体" w:cs="Times New Roman"/>
                <w:bCs/>
                <w:color w:val="auto"/>
                <w:szCs w:val="24"/>
                <w:lang w:val="ru-RU" w:eastAsia="zh-CN"/>
              </w:rPr>
              <w:t xml:space="preserve">7.2 </w:t>
            </w:r>
            <w:r>
              <w:rPr>
                <w:rFonts w:ascii="Times New Roman" w:hAnsi="Times New Roman" w:eastAsia="楷体" w:cs="Times New Roman"/>
                <w:bCs/>
                <w:color w:val="auto"/>
                <w:szCs w:val="24"/>
                <w:lang w:eastAsia="zh-CN"/>
              </w:rPr>
              <w:t>如卖方迟延向买方交付货物</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应向买方支付违约金。违约金按迟交货物金额的每日</w:t>
            </w:r>
            <w:r>
              <w:rPr>
                <w:rFonts w:ascii="Times New Roman" w:hAnsi="Times New Roman" w:eastAsia="楷体" w:cs="Times New Roman"/>
                <w:bCs/>
                <w:color w:val="auto"/>
                <w:szCs w:val="24"/>
                <w:lang w:val="ru-RU" w:eastAsia="zh-CN"/>
              </w:rPr>
              <w:t>0.1%</w:t>
            </w:r>
            <w:r>
              <w:rPr>
                <w:rFonts w:ascii="Times New Roman" w:hAnsi="Times New Roman" w:eastAsia="楷体" w:cs="Times New Roman"/>
                <w:bCs/>
                <w:color w:val="auto"/>
                <w:szCs w:val="24"/>
                <w:lang w:eastAsia="zh-CN"/>
              </w:rPr>
              <w:t>计算</w:t>
            </w:r>
            <w:r>
              <w:rPr>
                <w:rFonts w:ascii="Times New Roman" w:hAnsi="Times New Roman" w:eastAsia="楷体" w:cs="Times New Roman"/>
                <w:bCs/>
                <w:color w:val="auto"/>
                <w:szCs w:val="24"/>
                <w:lang w:val="ru-RU" w:eastAsia="zh-CN"/>
              </w:rPr>
              <w:t>，</w:t>
            </w:r>
            <w:r>
              <w:rPr>
                <w:rFonts w:ascii="Times New Roman" w:hAnsi="Times New Roman" w:eastAsia="楷体" w:cs="Times New Roman"/>
                <w:bCs/>
                <w:color w:val="auto"/>
                <w:szCs w:val="24"/>
                <w:lang w:eastAsia="zh-CN"/>
              </w:rPr>
              <w:t>但总额不得超过本合同总货款的</w:t>
            </w:r>
            <w:r>
              <w:rPr>
                <w:rFonts w:ascii="Times New Roman" w:hAnsi="Times New Roman" w:eastAsia="楷体" w:cs="Times New Roman"/>
                <w:bCs/>
                <w:color w:val="auto"/>
                <w:szCs w:val="24"/>
                <w:lang w:val="ru-RU" w:eastAsia="zh-CN"/>
              </w:rPr>
              <w:t>10%</w:t>
            </w:r>
            <w:r>
              <w:rPr>
                <w:rFonts w:ascii="Times New Roman" w:hAnsi="Times New Roman" w:eastAsia="楷体" w:cs="Times New Roman"/>
                <w:bCs/>
                <w:color w:val="auto"/>
                <w:szCs w:val="24"/>
                <w:lang w:eastAsia="zh-CN"/>
              </w:rPr>
              <w:t>。违约金计至卖方实际履行交货义务之日止，但不超过本合同有效期限。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color w:val="000000"/>
                <w:lang w:val="kk-KZ"/>
              </w:rPr>
              <w:t>7</w:t>
            </w:r>
            <w:r>
              <w:rPr>
                <w:rFonts w:eastAsia="楷体"/>
                <w:color w:val="000000"/>
              </w:rPr>
              <w:t>.</w:t>
            </w:r>
            <w:r>
              <w:rPr>
                <w:rFonts w:eastAsia="楷体"/>
                <w:color w:val="000000"/>
                <w:lang w:val="kk-KZ"/>
              </w:rPr>
              <w:t>3</w:t>
            </w:r>
            <w:r>
              <w:rPr>
                <w:rFonts w:eastAsia="楷体"/>
                <w:color w:val="000000"/>
              </w:rPr>
              <w:t xml:space="preserve">. За просрочку оплаты  </w:t>
            </w:r>
            <w:r>
              <w:rPr>
                <w:rFonts w:eastAsia="楷体"/>
                <w:color w:val="000000"/>
                <w:lang w:val="kk-KZ"/>
              </w:rPr>
              <w:t>стоимости товара</w:t>
            </w:r>
            <w:r>
              <w:rPr>
                <w:rFonts w:eastAsia="楷体"/>
                <w:color w:val="000000"/>
              </w:rPr>
              <w:t xml:space="preserve"> Покупатель обязан уплатить Поставщику неустойку в размере</w:t>
            </w:r>
            <w:r>
              <w:rPr>
                <w:rFonts w:eastAsia="楷体"/>
                <w:color w:val="000000"/>
                <w:lang w:val="kk-KZ"/>
              </w:rPr>
              <w:t xml:space="preserve"> 0,1</w:t>
            </w:r>
            <w:r>
              <w:rPr>
                <w:rFonts w:eastAsia="楷体"/>
                <w:color w:val="000000"/>
              </w:rPr>
              <w:t xml:space="preserve"> % от просроченной суммы за каждый день просрочки, но не более </w:t>
            </w:r>
            <w:r>
              <w:rPr>
                <w:rFonts w:eastAsia="楷体"/>
                <w:color w:val="000000"/>
                <w:lang w:val="kk-KZ"/>
              </w:rPr>
              <w:t>10</w:t>
            </w:r>
            <w:r>
              <w:rPr>
                <w:rFonts w:eastAsia="楷体"/>
                <w:color w:val="000000"/>
              </w:rPr>
              <w:t xml:space="preserve"> % от общей покупной цены по настоящему Договору.</w:t>
            </w:r>
            <w:r>
              <w:rPr>
                <w:rFonts w:eastAsia="楷体"/>
                <w:color w:val="000000"/>
                <w:lang w:val="kk-KZ"/>
              </w:rPr>
              <w:t xml:space="preserve"> </w:t>
            </w:r>
          </w:p>
        </w:tc>
        <w:tc>
          <w:tcPr>
            <w:tcW w:w="2148" w:type="pct"/>
            <w:vAlign w:val="center"/>
          </w:tcPr>
          <w:p>
            <w:pPr>
              <w:jc w:val="both"/>
              <w:textAlignment w:val="center"/>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7.3 </w:t>
            </w:r>
            <w:r>
              <w:rPr>
                <w:rFonts w:ascii="Times New Roman" w:hAnsi="Times New Roman" w:eastAsia="楷体" w:cs="Times New Roman"/>
                <w:bCs/>
                <w:color w:val="000000" w:themeColor="text1"/>
                <w:szCs w:val="24"/>
                <w:lang w:eastAsia="zh-CN"/>
                <w14:textFill>
                  <w14:solidFill>
                    <w14:schemeClr w14:val="tx1"/>
                  </w14:solidFill>
                </w14:textFill>
              </w:rPr>
              <w:t>如买方迟延支付货款</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应向卖方支付违约金。违约金按逾期金额的每日</w:t>
            </w:r>
            <w:r>
              <w:rPr>
                <w:rFonts w:ascii="Times New Roman" w:hAnsi="Times New Roman" w:eastAsia="楷体" w:cs="Times New Roman"/>
                <w:bCs/>
                <w:color w:val="000000" w:themeColor="text1"/>
                <w:szCs w:val="24"/>
                <w:lang w:val="ru-RU" w:eastAsia="zh-CN"/>
                <w14:textFill>
                  <w14:solidFill>
                    <w14:schemeClr w14:val="tx1"/>
                  </w14:solidFill>
                </w14:textFill>
              </w:rPr>
              <w:t>0.1%</w:t>
            </w:r>
            <w:r>
              <w:rPr>
                <w:rFonts w:ascii="Times New Roman" w:hAnsi="Times New Roman" w:eastAsia="楷体" w:cs="Times New Roman"/>
                <w:bCs/>
                <w:color w:val="000000" w:themeColor="text1"/>
                <w:szCs w:val="24"/>
                <w:lang w:eastAsia="zh-CN"/>
                <w14:textFill>
                  <w14:solidFill>
                    <w14:schemeClr w14:val="tx1"/>
                  </w14:solidFill>
                </w14:textFill>
              </w:rPr>
              <w:t>计算</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但总额不得超过本合同总货款的</w:t>
            </w:r>
            <w:r>
              <w:rPr>
                <w:rFonts w:ascii="Times New Roman" w:hAnsi="Times New Roman" w:eastAsia="楷体" w:cs="Times New Roman"/>
                <w:bCs/>
                <w:color w:val="000000" w:themeColor="text1"/>
                <w:szCs w:val="24"/>
                <w:lang w:val="ru-RU" w:eastAsia="zh-CN"/>
                <w14:textFill>
                  <w14:solidFill>
                    <w14:schemeClr w14:val="tx1"/>
                  </w14:solidFill>
                </w14:textFill>
              </w:rPr>
              <w:t>10%</w:t>
            </w:r>
            <w:r>
              <w:rPr>
                <w:rFonts w:ascii="Times New Roman" w:hAnsi="Times New Roman" w:eastAsia="楷体" w:cs="Times New Roman"/>
                <w:bCs/>
                <w:color w:val="000000" w:themeColor="text1"/>
                <w:szCs w:val="24"/>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Fonts w:eastAsia="楷体"/>
                <w:color w:val="000000"/>
                <w:lang w:val="kk-KZ"/>
              </w:rPr>
              <w:t>7</w:t>
            </w:r>
            <w:r>
              <w:rPr>
                <w:rFonts w:eastAsia="楷体"/>
                <w:color w:val="000000"/>
              </w:rPr>
              <w:t>.</w:t>
            </w:r>
            <w:r>
              <w:rPr>
                <w:rFonts w:eastAsia="楷体"/>
                <w:color w:val="000000"/>
                <w:lang w:val="kk-KZ"/>
              </w:rPr>
              <w:t>4</w:t>
            </w:r>
            <w:r>
              <w:rPr>
                <w:rFonts w:eastAsia="楷体"/>
                <w:color w:val="000000"/>
              </w:rPr>
              <w:t>. Уплата штрафов, пени и неустоек, а также возмещение убытков не освобождают Стороны от исполнения своих обязательств по настоящему Договору.</w:t>
            </w:r>
          </w:p>
        </w:tc>
        <w:tc>
          <w:tcPr>
            <w:tcW w:w="2148" w:type="pct"/>
            <w:vAlign w:val="center"/>
          </w:tcPr>
          <w:p>
            <w:pPr>
              <w:jc w:val="both"/>
              <w:textAlignment w:val="center"/>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7.4 </w:t>
            </w:r>
            <w:r>
              <w:rPr>
                <w:rFonts w:ascii="Times New Roman" w:hAnsi="Times New Roman" w:eastAsia="楷体" w:cs="Times New Roman"/>
                <w:bCs/>
                <w:color w:val="000000" w:themeColor="text1"/>
                <w:szCs w:val="24"/>
                <w:lang w:eastAsia="zh-CN"/>
                <w14:textFill>
                  <w14:solidFill>
                    <w14:schemeClr w14:val="tx1"/>
                  </w14:solidFill>
                </w14:textFill>
              </w:rPr>
              <w:t>支付罚款、滞纳金或违约金以及赔偿损失</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并不免除双方继续履行本合同项下其他义务的责任。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Style w:val="138"/>
                <w:rFonts w:eastAsia="楷体"/>
                <w:b w:val="0"/>
              </w:rPr>
              <w:t>7.5 В процессе приёмки товара, если будут выявлены несоответствия по количеству, ассортименту и/или качеству, Продавец обязан устранить недостатки или произвести замену товара. Сроки устранения или замены определяются сторонами дополнительно по соглашению.</w:t>
            </w:r>
          </w:p>
        </w:tc>
        <w:tc>
          <w:tcPr>
            <w:tcW w:w="2148" w:type="pct"/>
            <w:vAlign w:val="center"/>
          </w:tcPr>
          <w:p>
            <w:pPr>
              <w:jc w:val="both"/>
              <w:textAlignment w:val="center"/>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7.5 在货物验收过程中，如发现货物在数量、品种和/或质量方面存在不符情况，由卖方负责修复或更换，修复或更换期限由双方另行协商确定。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highlight w:val="yellow"/>
                <w:lang w:eastAsia="zh-CN"/>
                <w14:textFill>
                  <w14:solidFill>
                    <w14:schemeClr w14:val="tx1"/>
                  </w14:solidFill>
                </w14:textFill>
              </w:rPr>
            </w:pPr>
            <w:r>
              <w:rPr>
                <w:rStyle w:val="138"/>
                <w:rFonts w:eastAsia="楷体"/>
                <w:b w:val="0"/>
              </w:rPr>
              <w:t>7.6 Риск случайной гибели или повреждения товара переходит от Продавца к Покупателю с даты подписания Сторонами Акта приёмки товара.</w:t>
            </w:r>
          </w:p>
        </w:tc>
        <w:tc>
          <w:tcPr>
            <w:tcW w:w="2148" w:type="pct"/>
            <w:vAlign w:val="center"/>
          </w:tcPr>
          <w:p>
            <w:pPr>
              <w:jc w:val="both"/>
              <w:textAlignment w:val="center"/>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7.6 </w:t>
            </w:r>
            <w:r>
              <w:rPr>
                <w:rFonts w:ascii="Times New Roman" w:hAnsi="Times New Roman" w:eastAsia="楷体" w:cs="Times New Roman"/>
                <w:bCs/>
                <w:color w:val="000000" w:themeColor="text1"/>
                <w:szCs w:val="24"/>
                <w:lang w:eastAsia="zh-CN"/>
                <w14:textFill>
                  <w14:solidFill>
                    <w14:schemeClr w14:val="tx1"/>
                  </w14:solidFill>
                </w14:textFill>
              </w:rPr>
              <w:t>货物因意外灭失或损坏的风险</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自双方签署《货物验收单》之日起</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由卖方转移至买方。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auto"/>
              <w:jc w:val="both"/>
              <w:rPr>
                <w:rFonts w:ascii="Times New Roman" w:hAnsi="Times New Roman" w:eastAsia="楷体" w:cs="Times New Roman"/>
                <w:color w:val="000000" w:themeColor="text1"/>
                <w:szCs w:val="28"/>
                <w:lang w:val="ru-RU" w:eastAsia="zh-CN"/>
                <w14:textFill>
                  <w14:solidFill>
                    <w14:schemeClr w14:val="tx1"/>
                  </w14:solidFill>
                </w14:textFill>
              </w:rPr>
            </w:pPr>
            <w:r>
              <w:rPr>
                <w:rFonts w:ascii="Times New Roman" w:hAnsi="Times New Roman" w:eastAsia="楷体" w:cs="Times New Roman"/>
                <w:bCs/>
                <w:szCs w:val="24"/>
                <w:lang w:val="kk-KZ"/>
              </w:rPr>
              <w:t>7.7.</w:t>
            </w:r>
            <w:r>
              <w:rPr>
                <w:rFonts w:ascii="Times New Roman" w:hAnsi="Times New Roman" w:eastAsia="楷体" w:cs="Times New Roman"/>
                <w:bCs/>
                <w:szCs w:val="24"/>
                <w:lang w:val="ru-RU"/>
              </w:rPr>
              <w:t xml:space="preserve"> Уплата штрафных санкций, а также возмещение убытков не освобождает Стороны от исполнения своих обязательств по Договору.</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7.7 </w:t>
            </w:r>
            <w:r>
              <w:rPr>
                <w:rFonts w:ascii="Times New Roman" w:hAnsi="Times New Roman" w:eastAsia="楷体" w:cs="Times New Roman"/>
                <w:bCs/>
                <w:color w:val="000000" w:themeColor="text1"/>
                <w:sz w:val="24"/>
                <w:szCs w:val="24"/>
                <w:lang w:eastAsia="zh-CN"/>
                <w14:textFill>
                  <w14:solidFill>
                    <w14:schemeClr w14:val="tx1"/>
                  </w14:solidFill>
                </w14:textFill>
              </w:rPr>
              <w:t>支付违约金、赔偿损失等责任的履行</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并不免除双方继续履行本合同项下其他约定义务的责任。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auto"/>
              <w:jc w:val="both"/>
              <w:rPr>
                <w:rFonts w:ascii="Times New Roman" w:hAnsi="Times New Roman" w:eastAsia="楷体" w:cs="Times New Roman"/>
                <w:bCs/>
                <w:szCs w:val="24"/>
                <w:lang w:val="ru-RU" w:eastAsia="zh-CN"/>
              </w:rPr>
            </w:pPr>
            <w:r>
              <w:rPr>
                <w:rFonts w:ascii="Times New Roman" w:hAnsi="Times New Roman" w:eastAsia="楷体" w:cs="Times New Roman"/>
                <w:szCs w:val="24"/>
                <w:lang w:eastAsia="zh-CN"/>
              </w:rPr>
              <w:t>7.8</w:t>
            </w:r>
            <w:r>
              <w:rPr>
                <w:rFonts w:ascii="Times New Roman" w:hAnsi="Times New Roman" w:eastAsia="楷体" w:cs="Times New Roman"/>
                <w:bCs/>
                <w:szCs w:val="24"/>
                <w:lang w:eastAsia="zh-CN"/>
              </w:rPr>
              <w:t xml:space="preserve"> Продавец несет ответственность за управление безопасностью во время строительства. При страховании сотрудников Продавца по видам страхования, установленным законодательством Республики Казахстан, соответствующие страховые расходы включены в общую цену договора.</w:t>
            </w:r>
          </w:p>
        </w:tc>
        <w:tc>
          <w:tcPr>
            <w:tcW w:w="2148" w:type="pct"/>
            <w:vAlign w:val="center"/>
          </w:tcPr>
          <w:p>
            <w:pPr>
              <w:pStyle w:val="148"/>
              <w:jc w:val="both"/>
              <w:rPr>
                <w:rFonts w:ascii="Times New Roman" w:hAnsi="Times New Roman" w:eastAsia="楷体" w:cs="Times New Roman"/>
                <w:bCs/>
                <w:color w:val="auto"/>
                <w:sz w:val="24"/>
                <w:szCs w:val="24"/>
                <w:lang w:val="ru-RU" w:eastAsia="zh-CN"/>
              </w:rPr>
            </w:pPr>
            <w:r>
              <w:rPr>
                <w:rFonts w:hint="eastAsia" w:ascii="Times New Roman" w:hAnsi="Times New Roman" w:eastAsia="楷体" w:cs="Times New Roman"/>
                <w:color w:val="auto"/>
                <w:lang w:eastAsia="zh-CN"/>
              </w:rPr>
              <w:t xml:space="preserve">7.8 </w:t>
            </w:r>
            <w:r>
              <w:rPr>
                <w:rFonts w:ascii="Times New Roman" w:hAnsi="Times New Roman" w:eastAsia="楷体" w:cs="Times New Roman"/>
                <w:color w:val="auto"/>
                <w:lang w:eastAsia="zh-CN"/>
              </w:rPr>
              <w:t>卖方应</w:t>
            </w:r>
            <w:r>
              <w:rPr>
                <w:rFonts w:hint="eastAsia" w:ascii="Times New Roman" w:hAnsi="Times New Roman" w:eastAsia="楷体" w:cs="Times New Roman"/>
                <w:color w:val="auto"/>
                <w:lang w:eastAsia="zh-CN"/>
              </w:rPr>
              <w:t>负责施工期间的安全管理，</w:t>
            </w:r>
            <w:r>
              <w:rPr>
                <w:rFonts w:ascii="Times New Roman" w:hAnsi="Times New Roman" w:eastAsia="楷体" w:cs="Times New Roman"/>
                <w:color w:val="auto"/>
                <w:lang w:eastAsia="zh-CN"/>
              </w:rPr>
              <w:t>当为卖方人员投保哈萨克斯坦国家规定的险种</w:t>
            </w:r>
            <w:r>
              <w:rPr>
                <w:rFonts w:ascii="Times New Roman" w:hAnsi="Times New Roman" w:eastAsia="楷体" w:cs="Times New Roman"/>
                <w:color w:val="auto"/>
                <w:lang w:val="ru-RU" w:eastAsia="zh-CN"/>
              </w:rPr>
              <w:t>，</w:t>
            </w:r>
            <w:r>
              <w:rPr>
                <w:rFonts w:ascii="Times New Roman" w:hAnsi="Times New Roman" w:eastAsia="楷体" w:cs="Times New Roman"/>
                <w:color w:val="auto"/>
                <w:lang w:eastAsia="zh-CN"/>
              </w:rPr>
              <w:t>相应保险费用已包含在合同总价中。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auto"/>
              <w:jc w:val="both"/>
              <w:rPr>
                <w:rFonts w:ascii="Times New Roman" w:hAnsi="Times New Roman" w:eastAsia="楷体" w:cs="Times New Roman"/>
                <w:bCs/>
                <w:szCs w:val="24"/>
                <w:lang w:val="ru-RU" w:eastAsia="zh-CN"/>
              </w:rPr>
            </w:pPr>
            <w:r>
              <w:rPr>
                <w:rFonts w:ascii="Times New Roman" w:hAnsi="Times New Roman" w:eastAsia="楷体" w:cs="Times New Roman"/>
                <w:szCs w:val="24"/>
                <w:lang w:eastAsia="zh-CN"/>
              </w:rPr>
              <w:t>7.9</w:t>
            </w:r>
            <w:r>
              <w:rPr>
                <w:rFonts w:ascii="Times New Roman" w:hAnsi="Times New Roman" w:eastAsia="楷体" w:cs="Times New Roman"/>
                <w:bCs/>
                <w:szCs w:val="24"/>
                <w:lang w:eastAsia="zh-CN"/>
              </w:rPr>
              <w:t xml:space="preserve"> В случае травмы или смерти сотрудников Продавца по их собственной вине при исполнении обязательств по договору, ответственность несет Продавец, который также обязан возместить причиненный ущерб.</w:t>
            </w:r>
          </w:p>
        </w:tc>
        <w:tc>
          <w:tcPr>
            <w:tcW w:w="2148" w:type="pct"/>
            <w:vAlign w:val="center"/>
          </w:tcPr>
          <w:p>
            <w:pPr>
              <w:pStyle w:val="148"/>
              <w:jc w:val="both"/>
              <w:rPr>
                <w:rFonts w:ascii="Times New Roman" w:hAnsi="Times New Roman" w:eastAsia="楷体" w:cs="Times New Roman"/>
                <w:b/>
                <w:bCs/>
                <w:color w:val="auto"/>
                <w:lang w:eastAsia="zh-CN"/>
              </w:rPr>
            </w:pPr>
            <w:r>
              <w:rPr>
                <w:rFonts w:hint="eastAsia" w:ascii="Times New Roman" w:hAnsi="Times New Roman" w:eastAsia="楷体" w:cs="Times New Roman"/>
                <w:color w:val="auto"/>
                <w:lang w:eastAsia="zh-CN"/>
              </w:rPr>
              <w:t xml:space="preserve">7.9 </w:t>
            </w:r>
            <w:r>
              <w:rPr>
                <w:rFonts w:ascii="Times New Roman" w:hAnsi="Times New Roman" w:eastAsia="楷体" w:cs="Times New Roman"/>
                <w:color w:val="auto"/>
                <w:lang w:eastAsia="zh-CN"/>
              </w:rPr>
              <w:t>卖方人员履行合同时因自身原因受伤、死亡均由卖方承担责任并负责赔偿。</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tabs>
                <w:tab w:val="left" w:pos="215"/>
              </w:tabs>
              <w:spacing w:beforeAutospacing="1"/>
              <w:jc w:val="both"/>
              <w:rPr>
                <w:rFonts w:eastAsia="楷体"/>
                <w:color w:val="000000" w:themeColor="text1"/>
                <w:szCs w:val="28"/>
                <w14:textFill>
                  <w14:solidFill>
                    <w14:schemeClr w14:val="tx1"/>
                  </w14:solidFill>
                </w14:textFill>
              </w:rPr>
            </w:pPr>
            <w:r>
              <w:rPr>
                <w:rFonts w:eastAsia="楷体"/>
                <w:b/>
                <w:color w:val="000000"/>
                <w:lang w:val="en-US" w:eastAsia="zh-CN"/>
              </w:rPr>
              <w:t xml:space="preserve">8. </w:t>
            </w:r>
            <w:r>
              <w:rPr>
                <w:rFonts w:eastAsia="楷体"/>
                <w:b/>
                <w:color w:val="000000"/>
              </w:rPr>
              <w:t>Конфиденциальность</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8. 保密条款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eastAsia="zh-CN"/>
              </w:rPr>
              <w:t>8.1.</w:t>
            </w:r>
            <w:r>
              <w:rPr>
                <w:rFonts w:eastAsia="楷体"/>
                <w:color w:val="000000"/>
              </w:rPr>
              <w:t>Стороны обязуются сохранять строгую конфиденциальность информации, полученной</w:t>
            </w:r>
            <w:r>
              <w:rPr>
                <w:rFonts w:eastAsia="楷体"/>
                <w:color w:val="000000"/>
                <w:lang w:val="kk-KZ"/>
              </w:rPr>
              <w:t xml:space="preserve"> </w:t>
            </w:r>
            <w:r>
              <w:rPr>
                <w:rFonts w:eastAsia="楷体"/>
                <w:color w:val="000000"/>
              </w:rPr>
              <w:t>в</w:t>
            </w:r>
            <w:r>
              <w:rPr>
                <w:rFonts w:eastAsia="楷体"/>
                <w:color w:val="000000"/>
                <w:lang w:val="kk-KZ"/>
              </w:rPr>
              <w:t xml:space="preserve"> </w:t>
            </w:r>
            <w:r>
              <w:rPr>
                <w:rFonts w:eastAsia="楷体"/>
                <w:color w:val="000000"/>
              </w:rPr>
              <w:t>ходе исполнения настоящего Договора, и принять все возможные меры, чтобы предохранить полученную информацию от разглашения.</w:t>
            </w:r>
          </w:p>
        </w:tc>
        <w:tc>
          <w:tcPr>
            <w:tcW w:w="2148" w:type="pct"/>
            <w:vAlign w:val="center"/>
          </w:tcPr>
          <w:p>
            <w:pPr>
              <w:pStyle w:val="148"/>
              <w:jc w:val="both"/>
              <w:rPr>
                <w:rFonts w:ascii="Times New Roman" w:hAnsi="Times New Roman" w:eastAsia="楷体" w:cs="Times New Roman"/>
                <w:b/>
                <w:color w:val="000000" w:themeColor="text1"/>
                <w:sz w:val="28"/>
                <w:szCs w:val="28"/>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8.1 双方承诺对在履行本合同过程中所获得的任何信息严格保密，并采取一切必要措施防止该信息被泄露。</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eastAsia="zh-CN"/>
              </w:rPr>
              <w:t>8.2.</w:t>
            </w:r>
            <w:r>
              <w:rPr>
                <w:rFonts w:eastAsia="楷体"/>
                <w:color w:val="000000"/>
              </w:rPr>
              <w:t>Передача конфиденциальной информации третьим лицам, опубликование или иное разглашение такой информации могут осуществляться только с письменного согласия другой Стороны независимо от причины прекращения действия настоящего Договора.</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8.2 </w:t>
            </w:r>
            <w:r>
              <w:rPr>
                <w:rFonts w:ascii="Times New Roman" w:hAnsi="Times New Roman" w:eastAsia="楷体" w:cs="Times New Roman"/>
                <w:bCs/>
                <w:color w:val="000000" w:themeColor="text1"/>
                <w:sz w:val="24"/>
                <w:szCs w:val="24"/>
                <w:lang w:eastAsia="zh-CN"/>
                <w14:textFill>
                  <w14:solidFill>
                    <w14:schemeClr w14:val="tx1"/>
                  </w14:solidFill>
                </w14:textFill>
              </w:rPr>
              <w:t>未经另一方书面同意</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任何一方不得向第三方披露、发布或以其他方式公开该等保密信息</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无论本合同是否已终止。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51" w:type="pct"/>
          </w:tcPr>
          <w:p>
            <w:pPr>
              <w:pStyle w:val="34"/>
              <w:spacing w:beforeAutospacing="1"/>
              <w:jc w:val="both"/>
              <w:rPr>
                <w:rFonts w:eastAsia="楷体"/>
                <w:color w:val="000000" w:themeColor="text1"/>
                <w14:textFill>
                  <w14:solidFill>
                    <w14:schemeClr w14:val="tx1"/>
                  </w14:solidFill>
                </w14:textFill>
              </w:rPr>
            </w:pPr>
            <w:r>
              <w:rPr>
                <w:rFonts w:eastAsia="楷体"/>
                <w:color w:val="000000"/>
                <w:lang w:eastAsia="zh-CN"/>
              </w:rPr>
              <w:t>8.3.</w:t>
            </w:r>
            <w:r>
              <w:rPr>
                <w:rFonts w:eastAsia="楷体"/>
                <w:color w:val="000000"/>
              </w:rPr>
              <w:t>Ограничения относительно разглашения информации не относятся к общедоступной информации или информации ставшей таковой не по вине Сторон.</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8.3 </w:t>
            </w:r>
            <w:r>
              <w:rPr>
                <w:rFonts w:ascii="Times New Roman" w:hAnsi="Times New Roman" w:eastAsia="楷体" w:cs="Times New Roman"/>
                <w:bCs/>
                <w:color w:val="000000" w:themeColor="text1"/>
                <w:sz w:val="24"/>
                <w:szCs w:val="24"/>
                <w:lang w:eastAsia="zh-CN"/>
                <w14:textFill>
                  <w14:solidFill>
                    <w14:schemeClr w14:val="tx1"/>
                  </w14:solidFill>
                </w14:textFill>
              </w:rPr>
              <w:t>本保密义务不适用于以下信息</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属于或已进入公共领域的信息</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但前提是该信息的公开并非由于任何一方的过错或违约所致。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eastAsia="zh-CN"/>
              </w:rPr>
              <w:t>8.4.</w:t>
            </w:r>
            <w:r>
              <w:rPr>
                <w:rFonts w:eastAsia="楷体"/>
                <w:color w:val="000000"/>
              </w:rPr>
              <w:t>Стороны не несут ответственности в случае передачи информации субъектам, имеющим право ее затребовать в соответствии с законодательством Республики Казахстан.</w:t>
            </w:r>
          </w:p>
        </w:tc>
        <w:tc>
          <w:tcPr>
            <w:tcW w:w="2148" w:type="pct"/>
            <w:vAlign w:val="center"/>
          </w:tcPr>
          <w:p>
            <w:pPr>
              <w:pStyle w:val="148"/>
              <w:jc w:val="both"/>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8.4 </w:t>
            </w:r>
            <w:r>
              <w:rPr>
                <w:rFonts w:ascii="Times New Roman" w:hAnsi="Times New Roman" w:eastAsia="楷体" w:cs="Times New Roman"/>
                <w:bCs/>
                <w:color w:val="000000" w:themeColor="text1"/>
                <w:sz w:val="24"/>
                <w:szCs w:val="24"/>
                <w:lang w:eastAsia="zh-CN"/>
                <w14:textFill>
                  <w14:solidFill>
                    <w14:schemeClr w14:val="tx1"/>
                  </w14:solidFill>
                </w14:textFill>
              </w:rPr>
              <w:t>如根据哈萨克斯坦共和国法律规定</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相关信息须向有权机关提供</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则在此类情形下的信息披露</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双方不承担任何责任。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eastAsia="zh-CN"/>
              </w:rPr>
              <w:t>8.5.</w:t>
            </w:r>
            <w:r>
              <w:rPr>
                <w:rFonts w:eastAsia="楷体"/>
                <w:color w:val="000000"/>
              </w:rPr>
              <w:t>Обязательства по сохранению конфиденциальности информации действуют в течение срока действия настоящего Договора и</w:t>
            </w:r>
            <w:r>
              <w:rPr>
                <w:rFonts w:eastAsia="楷体"/>
                <w:color w:val="000000"/>
                <w:lang w:val="kk-KZ"/>
              </w:rPr>
              <w:t xml:space="preserve"> 3 (трех) </w:t>
            </w:r>
            <w:r>
              <w:rPr>
                <w:rFonts w:eastAsia="楷体"/>
                <w:color w:val="000000"/>
              </w:rPr>
              <w:t xml:space="preserve"> лет после истечения срока его действия.</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8.5 </w:t>
            </w:r>
            <w:r>
              <w:rPr>
                <w:rFonts w:ascii="Times New Roman" w:hAnsi="Times New Roman" w:eastAsia="楷体" w:cs="Times New Roman"/>
                <w:bCs/>
                <w:color w:val="000000" w:themeColor="text1"/>
                <w:sz w:val="24"/>
                <w:szCs w:val="24"/>
                <w:lang w:eastAsia="zh-CN"/>
                <w14:textFill>
                  <w14:solidFill>
                    <w14:schemeClr w14:val="tx1"/>
                  </w14:solidFill>
                </w14:textFill>
              </w:rPr>
              <w:t>保密义务在本合同有效期内持续有效</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并在本合同终止或履行完毕后继续有效</w:t>
            </w:r>
            <w:r>
              <w:rPr>
                <w:rFonts w:ascii="Times New Roman" w:hAnsi="Times New Roman" w:eastAsia="楷体" w:cs="Times New Roman"/>
                <w:bCs/>
                <w:color w:val="000000" w:themeColor="text1"/>
                <w:sz w:val="24"/>
                <w:szCs w:val="24"/>
                <w:lang w:val="ru-RU" w:eastAsia="zh-CN"/>
                <w14:textFill>
                  <w14:solidFill>
                    <w14:schemeClr w14:val="tx1"/>
                  </w14:solidFill>
                </w14:textFill>
              </w:rPr>
              <w:t>3（</w:t>
            </w:r>
            <w:r>
              <w:rPr>
                <w:rFonts w:ascii="Times New Roman" w:hAnsi="Times New Roman" w:eastAsia="楷体" w:cs="Times New Roman"/>
                <w:bCs/>
                <w:color w:val="000000" w:themeColor="text1"/>
                <w:sz w:val="24"/>
                <w:szCs w:val="24"/>
                <w:lang w:eastAsia="zh-CN"/>
                <w14:textFill>
                  <w14:solidFill>
                    <w14:schemeClr w14:val="tx1"/>
                  </w14:solidFill>
                </w14:textFill>
              </w:rPr>
              <w:t>三</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2851" w:type="pct"/>
          </w:tcPr>
          <w:p>
            <w:pPr>
              <w:jc w:val="both"/>
              <w:rPr>
                <w:rFonts w:ascii="Times New Roman" w:hAnsi="Times New Roman" w:eastAsia="楷体" w:cs="Times New Roman"/>
                <w:color w:val="000000" w:themeColor="text1"/>
                <w:szCs w:val="28"/>
                <w:highlight w:val="yellow"/>
                <w:lang w:eastAsia="zh-CN"/>
                <w14:textFill>
                  <w14:solidFill>
                    <w14:schemeClr w14:val="tx1"/>
                  </w14:solidFill>
                </w14:textFill>
              </w:rPr>
            </w:pPr>
            <w:r>
              <w:rPr>
                <w:rFonts w:ascii="Times New Roman" w:hAnsi="Times New Roman" w:eastAsia="楷体" w:cs="Times New Roman"/>
                <w:b/>
                <w:color w:val="000000"/>
                <w:lang w:eastAsia="zh-CN"/>
              </w:rPr>
              <w:t xml:space="preserve">9. </w:t>
            </w:r>
            <w:r>
              <w:rPr>
                <w:rFonts w:ascii="Times New Roman" w:hAnsi="Times New Roman" w:eastAsia="楷体" w:cs="Times New Roman"/>
                <w:b/>
                <w:color w:val="000000"/>
              </w:rPr>
              <w:t>Форс-мажор</w:t>
            </w:r>
          </w:p>
        </w:tc>
        <w:tc>
          <w:tcPr>
            <w:tcW w:w="2148" w:type="pct"/>
            <w:vAlign w:val="center"/>
          </w:tcPr>
          <w:p>
            <w:pPr>
              <w:pStyle w:val="148"/>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9. 不可抗力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9" w:hRule="atLeast"/>
          <w:jc w:val="center"/>
        </w:trPr>
        <w:tc>
          <w:tcPr>
            <w:tcW w:w="2851" w:type="pct"/>
          </w:tcPr>
          <w:p>
            <w:pPr>
              <w:jc w:val="both"/>
              <w:rPr>
                <w:rFonts w:ascii="Times New Roman" w:hAnsi="Times New Roman" w:eastAsia="楷体" w:cs="Times New Roman"/>
                <w:color w:val="000000" w:themeColor="text1"/>
                <w:szCs w:val="28"/>
                <w:lang w:val="ru-RU"/>
                <w14:textFill>
                  <w14:solidFill>
                    <w14:schemeClr w14:val="tx1"/>
                  </w14:solidFill>
                </w14:textFill>
              </w:rPr>
            </w:pPr>
            <w:r>
              <w:rPr>
                <w:rFonts w:ascii="Times New Roman" w:hAnsi="Times New Roman" w:eastAsia="楷体" w:cs="Times New Roman"/>
                <w:color w:val="000000"/>
                <w:lang w:val="ru-RU" w:eastAsia="zh-CN"/>
              </w:rPr>
              <w:t>9.1.</w:t>
            </w:r>
            <w:r>
              <w:rPr>
                <w:rFonts w:ascii="Times New Roman" w:hAnsi="Times New Roman" w:eastAsia="楷体" w:cs="Times New Roman"/>
                <w:color w:val="000000"/>
                <w:lang w:val="ru-RU"/>
              </w:rPr>
              <w:t>В случае, если надлежащему исполнению обязательства Стороны по настоящему Договору препятствует обстоятельство непреодолимой силы (</w:t>
            </w:r>
            <w:r>
              <w:rPr>
                <w:rFonts w:ascii="Times New Roman" w:hAnsi="Times New Roman" w:eastAsia="楷体" w:cs="Times New Roman"/>
                <w:color w:val="000000"/>
                <w:szCs w:val="24"/>
                <w:lang w:val="ru-RU"/>
              </w:rPr>
              <w:t>форс-мажорное обстоятельство</w:t>
            </w:r>
            <w:r>
              <w:rPr>
                <w:rFonts w:ascii="Times New Roman" w:hAnsi="Times New Roman" w:eastAsia="楷体" w:cs="Times New Roman"/>
                <w:color w:val="000000"/>
                <w:szCs w:val="24"/>
                <w:lang w:val="kk-KZ"/>
              </w:rPr>
              <w:t xml:space="preserve">, включая но не ограничиваясь: </w:t>
            </w:r>
            <w:r>
              <w:rPr>
                <w:rFonts w:ascii="Times New Roman" w:hAnsi="Times New Roman" w:eastAsia="楷体" w:cs="Times New Roman"/>
                <w:bCs/>
                <w:color w:val="000000"/>
                <w:szCs w:val="24"/>
                <w:lang w:val="ru-RU"/>
              </w:rPr>
              <w:t>пожар, землетрясение и другие стихийные бедствия, война и военные операции</w:t>
            </w:r>
            <w:r>
              <w:rPr>
                <w:rFonts w:ascii="Times New Roman" w:hAnsi="Times New Roman" w:eastAsia="楷体" w:cs="Times New Roman"/>
                <w:color w:val="000000"/>
                <w:lang w:val="ru-RU"/>
              </w:rPr>
              <w:t>), срок исполнения соответствующего обязательства автоматически продлевается на период действия такого обстоятельства непреодолимой силы. Однако в случае, если соответствующее обязательство Стороны Договора не будет исполнено в течение</w:t>
            </w:r>
            <w:r>
              <w:rPr>
                <w:rFonts w:ascii="Times New Roman" w:hAnsi="Times New Roman" w:eastAsia="楷体" w:cs="Times New Roman"/>
                <w:color w:val="000000"/>
                <w:lang w:val="kk-KZ"/>
              </w:rPr>
              <w:t xml:space="preserve"> 30 (тридцати)  дней</w:t>
            </w:r>
            <w:r>
              <w:rPr>
                <w:rFonts w:ascii="Times New Roman" w:hAnsi="Times New Roman" w:eastAsia="楷体" w:cs="Times New Roman"/>
                <w:color w:val="000000"/>
                <w:lang w:val="ru-RU"/>
              </w:rPr>
              <w:t xml:space="preserve"> с момента наступления первоначального срока его исполнения, автоматическое продление срока исполнения соответствующего обязательства прекращается, а другая Сторона настоящего Договора вправе в одностороннем порядке отказаться от исполнения Договора, несмотря на продолжение действия обстоятельства непреодолимой силы. Правила настоящего пункта не распространяются на денежные обязательства Сторон Договора.</w:t>
            </w:r>
            <w:r>
              <w:rPr>
                <w:rFonts w:ascii="Times New Roman" w:hAnsi="Times New Roman" w:eastAsia="楷体" w:cs="Times New Roman"/>
                <w:color w:val="000000"/>
                <w:lang w:val="kk-KZ"/>
              </w:rPr>
              <w:t xml:space="preserve"> </w:t>
            </w:r>
            <w:r>
              <w:rPr>
                <w:rFonts w:ascii="Times New Roman" w:hAnsi="Times New Roman" w:eastAsia="楷体" w:cs="Times New Roman"/>
                <w:color w:val="000000"/>
                <w:lang w:val="ru-RU"/>
              </w:rPr>
              <w:t>Для цели настоящего Договора к обстоятельствам непреодолимой силы (форс-мажорным обстоятельствам) относятся, в том числе, решения, действия и нормативные правовые акты органов государственной власти как Республики Казахстан, так и других государств, включая и такие решения, действия и нормативные правовые акта, которые приняты (</w:t>
            </w:r>
            <w:r>
              <w:rPr>
                <w:rFonts w:ascii="Times New Roman" w:hAnsi="Times New Roman" w:eastAsia="楷体" w:cs="Times New Roman"/>
                <w:color w:val="000000"/>
                <w:szCs w:val="24"/>
                <w:lang w:val="ru-RU"/>
              </w:rPr>
              <w:t>совершены) с нарушениями.</w:t>
            </w:r>
          </w:p>
        </w:tc>
        <w:tc>
          <w:tcPr>
            <w:tcW w:w="2148" w:type="pct"/>
            <w:vAlign w:val="center"/>
          </w:tcPr>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9.1 </w:t>
            </w:r>
            <w:r>
              <w:rPr>
                <w:rFonts w:ascii="Times New Roman" w:hAnsi="Times New Roman" w:eastAsia="楷体" w:cs="Times New Roman"/>
                <w:bCs/>
                <w:color w:val="000000" w:themeColor="text1"/>
                <w:szCs w:val="24"/>
                <w:lang w:eastAsia="zh-CN"/>
                <w14:textFill>
                  <w14:solidFill>
                    <w14:schemeClr w14:val="tx1"/>
                  </w14:solidFill>
                </w14:textFill>
              </w:rPr>
              <w:t>若因不可抗力事件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包括但不限于火灾、地震、自然灾害、战争或军事行动等</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导致一方无法正常履行本合同项下的义务</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则该方的履约期限将自动顺延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顺延时间等于不可抗力事件持续的时间。</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但是</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若自合同义务原定履行期限届满之日起</w:t>
            </w:r>
            <w:r>
              <w:rPr>
                <w:rFonts w:ascii="Times New Roman" w:hAnsi="Times New Roman" w:eastAsia="楷体" w:cs="Times New Roman"/>
                <w:bCs/>
                <w:color w:val="000000" w:themeColor="text1"/>
                <w:szCs w:val="24"/>
                <w:lang w:val="ru-RU" w:eastAsia="zh-CN"/>
                <w14:textFill>
                  <w14:solidFill>
                    <w14:schemeClr w14:val="tx1"/>
                  </w14:solidFill>
                </w14:textFill>
              </w:rPr>
              <w:t>30（</w:t>
            </w:r>
            <w:r>
              <w:rPr>
                <w:rFonts w:ascii="Times New Roman" w:hAnsi="Times New Roman" w:eastAsia="楷体" w:cs="Times New Roman"/>
                <w:bCs/>
                <w:color w:val="000000" w:themeColor="text1"/>
                <w:szCs w:val="24"/>
                <w:lang w:eastAsia="zh-CN"/>
                <w14:textFill>
                  <w14:solidFill>
                    <w14:schemeClr w14:val="tx1"/>
                  </w14:solidFill>
                </w14:textFill>
              </w:rPr>
              <w:t>三十</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日内</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该义务仍未履行</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则自动顺延终止</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另一方有权单方面解除本合同</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即使不可抗力事件仍在持续。</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本条款规定不适用于双方的金钱支付义务。</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rPr>
                <w:rFonts w:ascii="Times New Roman" w:hAnsi="Times New Roman" w:eastAsia="楷体" w:cs="Times New Roman"/>
                <w:b/>
                <w:color w:val="000000" w:themeColor="text1"/>
                <w:sz w:val="28"/>
                <w:szCs w:val="28"/>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就本合同而言</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不可抗力事件还包括哈萨克斯坦共和国及其他国家的政府机关所作出的决定、行为或颁布的规范性法律文件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无论该等决定、行为或文件是否存在程序或实体上的违法情形。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bookmarkStart w:id="8" w:name="1921988428"/>
            <w:r>
              <w:rPr>
                <w:rFonts w:eastAsia="楷体"/>
                <w:color w:val="000000"/>
                <w:lang w:val="kk-KZ"/>
              </w:rPr>
              <w:t>9</w:t>
            </w:r>
            <w:r>
              <w:rPr>
                <w:rFonts w:eastAsia="楷体"/>
                <w:color w:val="000000"/>
              </w:rPr>
              <w:t xml:space="preserve">.2. </w:t>
            </w:r>
            <w:r>
              <w:rPr>
                <w:rFonts w:eastAsia="楷体"/>
                <w:bCs/>
                <w:color w:val="000000"/>
              </w:rPr>
              <w:t>Та Сторона, для которой выполнение обязанностей становится невозможным, должна немедленно сообщить другой стороне о начале, предполагаемом периоде действия и окончании вышеназванных обстоятельств. При отсутствии такого сообщения, Сторона лишается своих прав ссылаться на данные обстоятельства, как на причины невыполнения своих обязательств. По запросу одной из Сторон, Сторона, ссылающаяся на обстоятельства форс-мажора, обязана предоставить подтверждающий документ, выданный уполномоченным органом, на территории которого произошли такие обстоятельства.</w:t>
            </w:r>
          </w:p>
        </w:tc>
        <w:tc>
          <w:tcPr>
            <w:tcW w:w="2148" w:type="pct"/>
            <w:vAlign w:val="center"/>
          </w:tcPr>
          <w:p>
            <w:pPr>
              <w:adjustRightInd w:val="0"/>
              <w:snapToGrid w:val="0"/>
              <w:spacing w:before="120" w:beforeLines="50"/>
              <w:rPr>
                <w:rFonts w:ascii="Times New Roman" w:hAnsi="Times New Roman" w:eastAsia="楷体" w:cs="Times New Roman"/>
                <w:bCs/>
                <w:color w:val="000000" w:themeColor="text1"/>
                <w:szCs w:val="24"/>
                <w:lang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9.2 </w:t>
            </w:r>
            <w:r>
              <w:rPr>
                <w:rFonts w:ascii="Times New Roman" w:hAnsi="Times New Roman" w:eastAsia="楷体" w:cs="Times New Roman"/>
                <w:bCs/>
                <w:color w:val="000000" w:themeColor="text1"/>
                <w:szCs w:val="24"/>
                <w:lang w:eastAsia="zh-CN"/>
                <w14:textFill>
                  <w14:solidFill>
                    <w14:schemeClr w14:val="tx1"/>
                  </w14:solidFill>
                </w14:textFill>
              </w:rPr>
              <w:t>遭遇不可抗力导致履约不能的一方</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 xml:space="preserve">应立即书面通知另一方不可抗力事件的起始时间、预计持续时间及结束时间。若未及时通知，该方将丧失援引不可抗力作为免责事由的权利。  </w:t>
            </w:r>
          </w:p>
          <w:p>
            <w:pPr>
              <w:adjustRightInd w:val="0"/>
              <w:snapToGrid w:val="0"/>
              <w:spacing w:before="120" w:beforeLines="50"/>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应另一方要求，主张不可抗力的一方须提供由事件发生地有权机构出具的证明文件。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bCs/>
                <w:color w:val="000000" w:themeColor="text1"/>
                <w:lang w:val="kk-KZ"/>
                <w14:textFill>
                  <w14:solidFill>
                    <w14:schemeClr w14:val="tx1"/>
                  </w14:solidFill>
                </w14:textFill>
              </w:rPr>
              <w:t xml:space="preserve">9.3. </w:t>
            </w:r>
            <w:r>
              <w:rPr>
                <w:rFonts w:eastAsia="楷体"/>
                <w:bCs/>
                <w:color w:val="000000"/>
              </w:rPr>
              <w:t>В случае возникновения обстоятельств непреодолимой силы, любая  из Сторон вправе  отказаться от исполнения Договора</w:t>
            </w:r>
            <w:r>
              <w:rPr>
                <w:rFonts w:eastAsia="楷体"/>
                <w:bCs/>
                <w:color w:val="000000"/>
                <w:lang w:val="kk-KZ"/>
              </w:rPr>
              <w:t xml:space="preserve"> </w:t>
            </w:r>
            <w:r>
              <w:rPr>
                <w:rFonts w:eastAsia="楷体"/>
                <w:bCs/>
                <w:color w:val="000000"/>
              </w:rPr>
              <w:t>в одностороннем порядке,</w:t>
            </w:r>
            <w:r>
              <w:rPr>
                <w:rFonts w:eastAsia="楷体"/>
                <w:bCs/>
                <w:color w:val="000000"/>
                <w:lang w:val="kk-KZ"/>
              </w:rPr>
              <w:t xml:space="preserve"> </w:t>
            </w:r>
            <w:r>
              <w:rPr>
                <w:rFonts w:eastAsia="楷体"/>
                <w:bCs/>
                <w:color w:val="000000"/>
              </w:rPr>
              <w:t>с письменным  уведомлением  об  этом  другой Стороны не  менее  чем за 5 (пять)  календарных  дней  до даты прекращения Договора, при этом Стороны  обязуются осуществить все взаиморасчеты не позднее, чем за 1 (один) рабочий день до даты прекращения  Договора.</w:t>
            </w:r>
          </w:p>
        </w:tc>
        <w:tc>
          <w:tcPr>
            <w:tcW w:w="2148" w:type="pct"/>
            <w:vAlign w:val="center"/>
          </w:tcPr>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9.3 </w:t>
            </w:r>
            <w:r>
              <w:rPr>
                <w:rFonts w:ascii="Times New Roman" w:hAnsi="Times New Roman" w:eastAsia="楷体" w:cs="Times New Roman"/>
                <w:bCs/>
                <w:color w:val="000000" w:themeColor="text1"/>
                <w:szCs w:val="24"/>
                <w:lang w:eastAsia="zh-CN"/>
                <w14:textFill>
                  <w14:solidFill>
                    <w14:schemeClr w14:val="tx1"/>
                  </w14:solidFill>
                </w14:textFill>
              </w:rPr>
              <w:t>若发生不可抗力事件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任何一方均有权单方面解除本合同</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但须提前不少于</w:t>
            </w:r>
            <w:r>
              <w:rPr>
                <w:rFonts w:ascii="Times New Roman" w:hAnsi="Times New Roman" w:eastAsia="楷体" w:cs="Times New Roman"/>
                <w:bCs/>
                <w:color w:val="000000" w:themeColor="text1"/>
                <w:szCs w:val="24"/>
                <w:lang w:val="ru-RU" w:eastAsia="zh-CN"/>
                <w14:textFill>
                  <w14:solidFill>
                    <w14:schemeClr w14:val="tx1"/>
                  </w14:solidFill>
                </w14:textFill>
              </w:rPr>
              <w:t>5（</w:t>
            </w:r>
            <w:r>
              <w:rPr>
                <w:rFonts w:ascii="Times New Roman" w:hAnsi="Times New Roman" w:eastAsia="楷体" w:cs="Times New Roman"/>
                <w:bCs/>
                <w:color w:val="000000" w:themeColor="text1"/>
                <w:szCs w:val="24"/>
                <w:lang w:eastAsia="zh-CN"/>
                <w14:textFill>
                  <w14:solidFill>
                    <w14:schemeClr w14:val="tx1"/>
                  </w14:solidFill>
                </w14:textFill>
              </w:rPr>
              <w:t>五</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个日历日以书面形式通知另一方。</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在合同终止前</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双方应完成所有应付未付的结算工作</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且所有财务结算应在合同终止日前</w:t>
            </w:r>
            <w:r>
              <w:rPr>
                <w:rFonts w:ascii="Times New Roman" w:hAnsi="Times New Roman" w:eastAsia="楷体" w:cs="Times New Roman"/>
                <w:bCs/>
                <w:color w:val="000000" w:themeColor="text1"/>
                <w:sz w:val="24"/>
                <w:szCs w:val="24"/>
                <w:lang w:val="ru-RU" w:eastAsia="zh-CN"/>
                <w14:textFill>
                  <w14:solidFill>
                    <w14:schemeClr w14:val="tx1"/>
                  </w14:solidFill>
                </w14:textFill>
              </w:rPr>
              <w:t>1（</w:t>
            </w:r>
            <w:r>
              <w:rPr>
                <w:rFonts w:ascii="Times New Roman" w:hAnsi="Times New Roman" w:eastAsia="楷体" w:cs="Times New Roman"/>
                <w:bCs/>
                <w:color w:val="000000" w:themeColor="text1"/>
                <w:sz w:val="24"/>
                <w:szCs w:val="24"/>
                <w:lang w:eastAsia="zh-CN"/>
                <w14:textFill>
                  <w14:solidFill>
                    <w14:schemeClr w14:val="tx1"/>
                  </w14:solidFill>
                </w14:textFill>
              </w:rPr>
              <w:t>一</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个工作日内完成。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b/>
                <w:color w:val="000000" w:themeColor="text1"/>
                <w:lang w:val="kk-KZ"/>
                <w14:textFill>
                  <w14:solidFill>
                    <w14:schemeClr w14:val="tx1"/>
                  </w14:solidFill>
                </w14:textFill>
              </w:rPr>
              <w:t>10.</w:t>
            </w:r>
            <w:r>
              <w:rPr>
                <w:rFonts w:eastAsia="楷体"/>
                <w:b/>
                <w:color w:val="000000"/>
              </w:rPr>
              <w:t xml:space="preserve"> Применимое право и порядок разрешения споров</w:t>
            </w:r>
          </w:p>
        </w:tc>
        <w:tc>
          <w:tcPr>
            <w:tcW w:w="2148" w:type="pct"/>
            <w:vAlign w:val="center"/>
          </w:tcPr>
          <w:p>
            <w:pPr>
              <w:pStyle w:val="148"/>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10. 适用法律与争议解决方式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val="kk-KZ"/>
              </w:rPr>
              <w:t>10</w:t>
            </w:r>
            <w:r>
              <w:rPr>
                <w:rFonts w:eastAsia="楷体"/>
                <w:color w:val="000000"/>
              </w:rPr>
              <w:t>.1. К взаимоотношениям Сторон по настоящему Договору применяется законодательство Республики Казахстан.Для цели настоящего Договора законодательством считается законодательство Республики Казахстан, также нормы международного права и решения международных и региональных органов и организаций, обязательные для исполнения на территории Республики Казахстан.</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10.1 </w:t>
            </w:r>
            <w:r>
              <w:rPr>
                <w:rFonts w:ascii="Times New Roman" w:hAnsi="Times New Roman" w:eastAsia="楷体" w:cs="Times New Roman"/>
                <w:bCs/>
                <w:color w:val="000000" w:themeColor="text1"/>
                <w:sz w:val="24"/>
                <w:szCs w:val="24"/>
                <w:lang w:eastAsia="zh-CN"/>
                <w14:textFill>
                  <w14:solidFill>
                    <w14:schemeClr w14:val="tx1"/>
                  </w14:solidFill>
                </w14:textFill>
              </w:rPr>
              <w:t>本合同双方之间的权利义务关系适用哈萨克斯坦共和国法律。为本合同之目的</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所称</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法律</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包括哈萨克斯坦共和国的现行法律法规、国际法规范</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以及在哈萨克斯坦共和国境内具有强制执行效力的国际及区域机构和组织的决议。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val="kk-KZ"/>
              </w:rPr>
              <w:t>10</w:t>
            </w:r>
            <w:r>
              <w:rPr>
                <w:rFonts w:eastAsia="楷体"/>
                <w:color w:val="000000"/>
              </w:rPr>
              <w:t>.2. Перед обращением в суд за разрешением возникшего спора, Сторона настоящего Договора должна направить другой Стороне письменную претензию с указанием своих требований к другой Стороне, с предложением добровольного удовлетворения этих требований и срока для добровольного удовлетворения. Данный досудебный порядок считается соблюденным для цели обращения в суд с момента получения письменного отказа другой Стороны от удовлетворения требования либо при неполучении письменного ответа на претензию в течение</w:t>
            </w:r>
            <w:r>
              <w:rPr>
                <w:rFonts w:eastAsia="楷体"/>
                <w:color w:val="000000"/>
                <w:lang w:val="kk-KZ"/>
              </w:rPr>
              <w:t xml:space="preserve"> 10 (десяти)</w:t>
            </w:r>
            <w:r>
              <w:rPr>
                <w:rFonts w:eastAsia="楷体"/>
                <w:color w:val="000000"/>
              </w:rPr>
              <w:t xml:space="preserve"> дней с момента получения претензии другой Стороной, либо при неудовлетворении другой Стороной изложенного в претензии требования в срок, указанный в претензии. Данный досудебный порядок не распространяется на требования, которые по своему характеру не предполагают возможность другой Стороны Договора удовлетворить их (о признании сделки недействительной и т.п.).</w:t>
            </w:r>
          </w:p>
        </w:tc>
        <w:tc>
          <w:tcPr>
            <w:tcW w:w="2148" w:type="pct"/>
            <w:vAlign w:val="center"/>
          </w:tcPr>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10.2 </w:t>
            </w:r>
            <w:r>
              <w:rPr>
                <w:rFonts w:ascii="Times New Roman" w:hAnsi="Times New Roman" w:eastAsia="楷体" w:cs="Times New Roman"/>
                <w:bCs/>
                <w:color w:val="000000" w:themeColor="text1"/>
                <w:szCs w:val="24"/>
                <w:lang w:eastAsia="zh-CN"/>
                <w14:textFill>
                  <w14:solidFill>
                    <w14:schemeClr w14:val="tx1"/>
                  </w14:solidFill>
                </w14:textFill>
              </w:rPr>
              <w:t>在因争议向法院提起诉讼之前</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合同一方应向另一方提交书面索赔通知</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明确其具体要求</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建议对方自愿履行该等要求</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并设定自愿履行的期限。</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当出现以下任一情况时</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视为已履行诉前程序</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可向法院提起诉讼</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另一方书面明确拒绝履行该要求</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自另一方收到索赔通知之日起</w:t>
            </w:r>
            <w:r>
              <w:rPr>
                <w:rFonts w:ascii="Times New Roman" w:hAnsi="Times New Roman" w:eastAsia="楷体" w:cs="Times New Roman"/>
                <w:bCs/>
                <w:color w:val="000000" w:themeColor="text1"/>
                <w:szCs w:val="24"/>
                <w:lang w:val="ru-RU" w:eastAsia="zh-CN"/>
                <w14:textFill>
                  <w14:solidFill>
                    <w14:schemeClr w14:val="tx1"/>
                  </w14:solidFill>
                </w14:textFill>
              </w:rPr>
              <w:t>10（</w:t>
            </w:r>
            <w:r>
              <w:rPr>
                <w:rFonts w:ascii="Times New Roman" w:hAnsi="Times New Roman" w:eastAsia="楷体" w:cs="Times New Roman"/>
                <w:bCs/>
                <w:color w:val="000000" w:themeColor="text1"/>
                <w:szCs w:val="24"/>
                <w:lang w:eastAsia="zh-CN"/>
                <w14:textFill>
                  <w14:solidFill>
                    <w14:schemeClr w14:val="tx1"/>
                  </w14:solidFill>
                </w14:textFill>
              </w:rPr>
              <w:t>十</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日内未收到其书面答复</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另一方未在索赔通知中规定的期限内满足所提出的索赔要求。</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adjustRightInd w:val="0"/>
              <w:snapToGrid w:val="0"/>
              <w:spacing w:before="120" w:beforeLines="50"/>
              <w:rPr>
                <w:rFonts w:ascii="Times New Roman" w:hAnsi="Times New Roman" w:eastAsia="楷体" w:cs="Times New Roman"/>
                <w:color w:val="000000" w:themeColor="text1"/>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上述诉前程序不适用于依其性质无法通过对方自愿履行为前提的诉求</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例如请求确认合同无效等</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33" w:hRule="atLeast"/>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val="kk-KZ"/>
              </w:rPr>
              <w:t xml:space="preserve">10.3. </w:t>
            </w:r>
            <w:r>
              <w:rPr>
                <w:rFonts w:eastAsia="楷体"/>
                <w:bCs/>
                <w:color w:val="000000" w:themeColor="text1"/>
                <w14:textFill>
                  <w14:solidFill>
                    <w14:schemeClr w14:val="tx1"/>
                  </w14:solidFill>
                </w14:textFill>
              </w:rPr>
              <w:t>В случае возникновения спора относительно качества или поставки товара любая из Сторон вправе обратиться к независимой организации, имеющей соответствующую аккредитацию, для проведения экспертизы и обязана письменно уведомить об этом другую Сторону. Все расходы, связанные с проведением экспертизы, включая необходимые дополнительные испытания, несет ответственная Сторона, определяемая по результатам экспертизы.</w:t>
            </w:r>
          </w:p>
        </w:tc>
        <w:tc>
          <w:tcPr>
            <w:tcW w:w="2148" w:type="pct"/>
            <w:vAlign w:val="center"/>
          </w:tcPr>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10.3 </w:t>
            </w:r>
            <w:r>
              <w:rPr>
                <w:rFonts w:ascii="Times New Roman" w:hAnsi="Times New Roman" w:eastAsia="楷体" w:cs="Times New Roman"/>
                <w:bCs/>
                <w:color w:val="000000" w:themeColor="text1"/>
                <w:szCs w:val="24"/>
                <w:lang w:eastAsia="zh-CN"/>
                <w14:textFill>
                  <w14:solidFill>
                    <w14:schemeClr w14:val="tx1"/>
                  </w14:solidFill>
                </w14:textFill>
              </w:rPr>
              <w:t>如因货物质量或交货问题发生争议</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任何一方均有权委托具备相应资质认证的独立机构进行鉴定</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并应书面通知另一方。</w:t>
            </w: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p>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鉴定所产生的全部费用</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包括为完成鉴定所必需的附加检测费用</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由经鉴定确认负有责任的一方承担。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lang w:eastAsia="zh-CN"/>
                <w14:textFill>
                  <w14:solidFill>
                    <w14:schemeClr w14:val="tx1"/>
                  </w14:solidFill>
                </w14:textFill>
              </w:rPr>
            </w:pPr>
            <w:r>
              <w:rPr>
                <w:rFonts w:eastAsia="楷体"/>
                <w:b/>
                <w:color w:val="000000"/>
              </w:rPr>
              <w:t>1</w:t>
            </w:r>
            <w:r>
              <w:rPr>
                <w:rFonts w:eastAsia="楷体"/>
                <w:b/>
                <w:color w:val="000000"/>
                <w:lang w:val="kk-KZ"/>
              </w:rPr>
              <w:t>1</w:t>
            </w:r>
            <w:r>
              <w:rPr>
                <w:rFonts w:eastAsia="楷体"/>
                <w:b/>
                <w:color w:val="000000"/>
              </w:rPr>
              <w:t>. Заключительные положения</w:t>
            </w:r>
          </w:p>
        </w:tc>
        <w:tc>
          <w:tcPr>
            <w:tcW w:w="2148" w:type="pct"/>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11. 其他条款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Style w:val="138"/>
                <w:rFonts w:eastAsia="楷体"/>
                <w:b w:val="0"/>
              </w:rPr>
              <w:t>11.1 Срок действия настоящего договора начинается с даты его подписания и продолжается до полного исполнения сторонами всех условий договора.</w:t>
            </w:r>
          </w:p>
        </w:tc>
        <w:tc>
          <w:tcPr>
            <w:tcW w:w="2148" w:type="pct"/>
          </w:tcPr>
          <w:p>
            <w:pPr>
              <w:jc w:val="both"/>
              <w:rPr>
                <w:rFonts w:ascii="Times New Roman" w:hAnsi="Times New Roman" w:eastAsia="楷体" w:cs="Times New Roman"/>
                <w:color w:val="000000" w:themeColor="text1"/>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11.1 本合同有效期自签订之日起至买卖双方完成合同约定全部内容。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val="kk-KZ"/>
              </w:rPr>
              <w:t>11</w:t>
            </w:r>
            <w:r>
              <w:rPr>
                <w:rFonts w:eastAsia="楷体"/>
                <w:color w:val="000000"/>
              </w:rPr>
              <w:t>.2. Односторонний отказ от исполнения настоящего Договора не допускается за исключением случаев, прямо предусмотренных императивными нормами законодательства или настоящим Договором.</w:t>
            </w:r>
          </w:p>
        </w:tc>
        <w:tc>
          <w:tcPr>
            <w:tcW w:w="2148" w:type="pct"/>
          </w:tcPr>
          <w:p>
            <w:pPr>
              <w:jc w:val="both"/>
              <w:rPr>
                <w:rFonts w:ascii="Times New Roman" w:hAnsi="Times New Roman" w:eastAsia="楷体" w:cs="Times New Roman"/>
                <w:b/>
                <w:color w:val="000000" w:themeColor="text1"/>
                <w:sz w:val="22"/>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11.2 未经本合同明确约定或法律强制性规定的情形，任何一方不得单方面解除或终止本合同的履行。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color w:val="000000"/>
                <w:lang w:val="kk-KZ"/>
              </w:rPr>
              <w:t>11</w:t>
            </w:r>
            <w:r>
              <w:rPr>
                <w:rFonts w:eastAsia="楷体"/>
                <w:color w:val="000000"/>
              </w:rPr>
              <w:t>.3. Настоящий Договор, а также соглашения о его изменении или дополнении действительны лишь при условии облечения их в письменную форму путем подписания обеими Сторонами единого документа.</w:t>
            </w:r>
          </w:p>
        </w:tc>
        <w:tc>
          <w:tcPr>
            <w:tcW w:w="2148" w:type="pct"/>
          </w:tcPr>
          <w:p>
            <w:pPr>
              <w:jc w:val="both"/>
              <w:rPr>
                <w:rFonts w:ascii="Times New Roman" w:hAnsi="Times New Roman" w:eastAsia="楷体" w:cs="Times New Roman"/>
                <w:b/>
                <w:color w:val="000000" w:themeColor="text1"/>
                <w:sz w:val="22"/>
                <w:lang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11.3 本合同以及对其的任何修改或补充协议，只有在双方签署同一书面文件的情况下方为有效。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14:textFill>
                  <w14:solidFill>
                    <w14:schemeClr w14:val="tx1"/>
                  </w14:solidFill>
                </w14:textFill>
              </w:rPr>
            </w:pPr>
            <w:r>
              <w:rPr>
                <w:rFonts w:eastAsia="楷体"/>
                <w:bCs/>
                <w:lang w:val="kk-KZ"/>
              </w:rPr>
              <w:t>11.4</w:t>
            </w:r>
            <w:r>
              <w:rPr>
                <w:rFonts w:eastAsia="楷体"/>
                <w:color w:val="000000"/>
              </w:rPr>
              <w:t xml:space="preserve">. Обо всех изменениях в банковских, почтовых, электронных и иных реквизитах Стороны обязаны извещать друг друга не позднее </w:t>
            </w:r>
            <w:r>
              <w:rPr>
                <w:rFonts w:eastAsia="楷体"/>
                <w:color w:val="000000"/>
                <w:lang w:val="kk-KZ"/>
              </w:rPr>
              <w:t>пяти</w:t>
            </w:r>
            <w:r>
              <w:rPr>
                <w:rFonts w:eastAsia="楷体"/>
                <w:color w:val="000000"/>
              </w:rPr>
              <w:t xml:space="preserve"> календарных дней с момента их официального утверждения. Все действия, совершенные Сторонами по старым адресам и счетам до поступления уведомлений об их изменении, считаются совершенными надлежащим образом.</w:t>
            </w:r>
          </w:p>
        </w:tc>
        <w:tc>
          <w:tcPr>
            <w:tcW w:w="2148" w:type="pct"/>
          </w:tcPr>
          <w:p>
            <w:pPr>
              <w:jc w:val="both"/>
              <w:rPr>
                <w:rFonts w:ascii="Times New Roman" w:hAnsi="Times New Roman" w:eastAsia="楷体" w:cs="Times New Roman"/>
                <w:b/>
                <w:color w:val="000000" w:themeColor="text1"/>
                <w:sz w:val="22"/>
                <w:lang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11.4 </w:t>
            </w:r>
            <w:r>
              <w:rPr>
                <w:rFonts w:ascii="Times New Roman" w:hAnsi="Times New Roman" w:eastAsia="楷体" w:cs="Times New Roman"/>
                <w:bCs/>
                <w:color w:val="000000" w:themeColor="text1"/>
                <w:szCs w:val="24"/>
                <w:lang w:eastAsia="zh-CN"/>
                <w14:textFill>
                  <w14:solidFill>
                    <w14:schemeClr w14:val="tx1"/>
                  </w14:solidFill>
                </w14:textFill>
              </w:rPr>
              <w:t>双方如有银行信息、邮寄地址、电子邮箱或其他联系信息的变更</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须自正式生效之日起</w:t>
            </w:r>
            <w:r>
              <w:rPr>
                <w:rFonts w:ascii="Times New Roman" w:hAnsi="Times New Roman" w:eastAsia="楷体" w:cs="Times New Roman"/>
                <w:bCs/>
                <w:color w:val="000000" w:themeColor="text1"/>
                <w:szCs w:val="24"/>
                <w:lang w:val="ru-RU" w:eastAsia="zh-CN"/>
                <w14:textFill>
                  <w14:solidFill>
                    <w14:schemeClr w14:val="tx1"/>
                  </w14:solidFill>
                </w14:textFill>
              </w:rPr>
              <w:t>5</w:t>
            </w:r>
            <w:r>
              <w:rPr>
                <w:rFonts w:ascii="Times New Roman" w:hAnsi="Times New Roman" w:eastAsia="楷体" w:cs="Times New Roman"/>
                <w:bCs/>
                <w:color w:val="000000" w:themeColor="text1"/>
                <w:szCs w:val="24"/>
                <w:lang w:eastAsia="zh-CN"/>
                <w14:textFill>
                  <w14:solidFill>
                    <w14:schemeClr w14:val="tx1"/>
                  </w14:solidFill>
                </w14:textFill>
              </w:rPr>
              <w:t>个日历日内书面通知对方。在收到变更通知前，按原地址或账户所进行的一切行为均视为合法有效。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120" w:line="240" w:lineRule="exact"/>
              <w:jc w:val="both"/>
              <w:rPr>
                <w:rFonts w:ascii="Times New Roman" w:hAnsi="Times New Roman" w:eastAsia="楷体" w:cs="Times New Roman"/>
                <w:color w:val="000000" w:themeColor="text1"/>
                <w:szCs w:val="28"/>
                <w:highlight w:val="yellow"/>
                <w:lang w:val="ru-RU" w:eastAsia="zh-CN"/>
                <w14:textFill>
                  <w14:solidFill>
                    <w14:schemeClr w14:val="tx1"/>
                  </w14:solidFill>
                </w14:textFill>
              </w:rPr>
            </w:pPr>
            <w:r>
              <w:rPr>
                <w:rFonts w:ascii="Times New Roman" w:hAnsi="Times New Roman" w:eastAsia="楷体" w:cs="Times New Roman"/>
                <w:lang w:val="ru-RU"/>
              </w:rPr>
              <w:t>11.5 Стороны договорились, что настоящий договор (включая приложения, дополнительные соглашения и др.) может быть подписан путем отправки сканированных копий на электронную почту, через мессенджеры «</w:t>
            </w:r>
            <w:r>
              <w:rPr>
                <w:rFonts w:ascii="Times New Roman" w:hAnsi="Times New Roman" w:eastAsia="楷体" w:cs="Times New Roman"/>
              </w:rPr>
              <w:t>WhatsApp</w:t>
            </w:r>
            <w:r>
              <w:rPr>
                <w:rFonts w:ascii="Times New Roman" w:hAnsi="Times New Roman" w:eastAsia="楷体" w:cs="Times New Roman"/>
                <w:lang w:val="ru-RU"/>
              </w:rPr>
              <w:t xml:space="preserve">», </w:t>
            </w:r>
            <w:r>
              <w:rPr>
                <w:rFonts w:ascii="Times New Roman" w:hAnsi="Times New Roman" w:eastAsia="楷体" w:cs="Times New Roman"/>
              </w:rPr>
              <w:t>WeChat</w:t>
            </w:r>
            <w:r>
              <w:rPr>
                <w:rFonts w:ascii="Times New Roman" w:hAnsi="Times New Roman" w:eastAsia="楷体" w:cs="Times New Roman"/>
                <w:lang w:val="ru-RU"/>
              </w:rPr>
              <w:t xml:space="preserve"> или иные средства связи. После подтверждения такого способа подписания обеими сторонами, он приобретает юридическую силу. Впоследствии стороны обязуются как можно скорее обменяться оригиналами на бумажном носителе.</w:t>
            </w:r>
          </w:p>
        </w:tc>
        <w:tc>
          <w:tcPr>
            <w:tcW w:w="2148" w:type="pct"/>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11.5 </w:t>
            </w:r>
            <w:r>
              <w:rPr>
                <w:rFonts w:ascii="Times New Roman" w:hAnsi="Times New Roman" w:eastAsia="楷体" w:cs="Times New Roman"/>
                <w:bCs/>
                <w:color w:val="000000" w:themeColor="text1"/>
                <w:sz w:val="24"/>
                <w:szCs w:val="24"/>
                <w:lang w:eastAsia="zh-CN"/>
                <w14:textFill>
                  <w14:solidFill>
                    <w14:schemeClr w14:val="tx1"/>
                  </w14:solidFill>
                </w14:textFill>
              </w:rPr>
              <w:t>双方约定</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本合同</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包括附件、补充协议等</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可通过将扫描件发送至对方电子邮箱、「WhatsApp」、微信等即时通讯工具或其他通信方式完成签署</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该等签署方式经双方确认后具有法律效力</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后续应尽快交换纸质原件。</w:t>
            </w:r>
          </w:p>
        </w:tc>
      </w:tr>
      <w:bookmarkEnd w:id="8"/>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2" w:hRule="atLeast"/>
          <w:jc w:val="center"/>
        </w:trPr>
        <w:tc>
          <w:tcPr>
            <w:tcW w:w="2851" w:type="pct"/>
          </w:tcPr>
          <w:p>
            <w:pPr>
              <w:spacing w:after="0" w:line="240" w:lineRule="exact"/>
              <w:jc w:val="both"/>
              <w:rPr>
                <w:rFonts w:ascii="Times New Roman" w:hAnsi="Times New Roman" w:eastAsia="楷体" w:cs="Times New Roman"/>
                <w:color w:val="000000" w:themeColor="text1"/>
                <w:szCs w:val="28"/>
                <w:lang w:val="ru-RU"/>
                <w14:textFill>
                  <w14:solidFill>
                    <w14:schemeClr w14:val="tx1"/>
                  </w14:solidFill>
                </w14:textFill>
              </w:rPr>
            </w:pPr>
            <w:r>
              <w:rPr>
                <w:rFonts w:ascii="Times New Roman" w:hAnsi="Times New Roman" w:eastAsia="楷体" w:cs="Times New Roman"/>
                <w:lang w:val="kk-KZ"/>
              </w:rPr>
              <w:t xml:space="preserve">11.6. </w:t>
            </w:r>
            <w:r>
              <w:rPr>
                <w:rFonts w:ascii="Times New Roman" w:hAnsi="Times New Roman" w:eastAsia="楷体" w:cs="Times New Roman"/>
                <w:bCs/>
                <w:szCs w:val="24"/>
                <w:lang w:val="ru-RU"/>
              </w:rPr>
              <w:t>Стороны не вправе передавать свои права и обязанности, предусмотренные Договором, третьим лицам, за исключением законных правопреемников Сторон, без предварительного согласия на то другой Стороны.</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11.6 </w:t>
            </w:r>
            <w:r>
              <w:rPr>
                <w:rFonts w:ascii="Times New Roman" w:hAnsi="Times New Roman" w:eastAsia="楷体" w:cs="Times New Roman"/>
                <w:bCs/>
                <w:color w:val="000000" w:themeColor="text1"/>
                <w:sz w:val="24"/>
                <w:szCs w:val="24"/>
                <w:lang w:eastAsia="zh-CN"/>
                <w14:textFill>
                  <w14:solidFill>
                    <w14:schemeClr w14:val="tx1"/>
                  </w14:solidFill>
                </w14:textFill>
              </w:rPr>
              <w:t>未经对方事先书面同意</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任何一方不得将其在本合同项下的权利和义务转让给第三方</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但法律规定的合法继承人除外。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after="0" w:line="240" w:lineRule="auto"/>
              <w:jc w:val="both"/>
              <w:rPr>
                <w:rFonts w:ascii="Times New Roman" w:hAnsi="Times New Roman" w:eastAsia="楷体" w:cs="Times New Roman"/>
                <w:lang w:val="ru-RU"/>
              </w:rPr>
            </w:pPr>
            <w:bookmarkStart w:id="9" w:name="1040487436"/>
            <w:r>
              <w:rPr>
                <w:rFonts w:ascii="Times New Roman" w:hAnsi="Times New Roman" w:eastAsia="楷体" w:cs="Times New Roman"/>
                <w:color w:val="000000"/>
                <w:lang w:val="kk-KZ"/>
              </w:rPr>
              <w:t>11.7</w:t>
            </w:r>
            <w:r>
              <w:rPr>
                <w:rFonts w:ascii="Times New Roman" w:hAnsi="Times New Roman" w:eastAsia="楷体" w:cs="Times New Roman"/>
                <w:color w:val="000000"/>
                <w:lang w:val="ru-RU"/>
              </w:rPr>
              <w:t>. Стороны настоящим подтверждают, что на момент подписания Договора:</w:t>
            </w:r>
          </w:p>
          <w:bookmarkEnd w:id="9"/>
          <w:p>
            <w:pPr>
              <w:spacing w:after="0" w:line="240" w:lineRule="auto"/>
              <w:ind w:firstLine="500"/>
              <w:jc w:val="both"/>
              <w:rPr>
                <w:rFonts w:ascii="Times New Roman" w:hAnsi="Times New Roman" w:eastAsia="楷体" w:cs="Times New Roman"/>
                <w:lang w:val="ru-RU"/>
              </w:rPr>
            </w:pPr>
            <w:bookmarkStart w:id="10" w:name="1040487437"/>
            <w:r>
              <w:rPr>
                <w:rFonts w:ascii="Times New Roman" w:hAnsi="Times New Roman" w:eastAsia="楷体" w:cs="Times New Roman"/>
                <w:color w:val="000000"/>
                <w:lang w:val="ru-RU"/>
              </w:rPr>
              <w:t>- не находились под влиянием обмана, насилия, угрозы;</w:t>
            </w:r>
          </w:p>
          <w:bookmarkEnd w:id="10"/>
          <w:p>
            <w:pPr>
              <w:spacing w:after="0" w:line="240" w:lineRule="auto"/>
              <w:ind w:firstLine="500"/>
              <w:jc w:val="both"/>
              <w:rPr>
                <w:rFonts w:ascii="Times New Roman" w:hAnsi="Times New Roman" w:eastAsia="楷体" w:cs="Times New Roman"/>
                <w:lang w:val="ru-RU"/>
              </w:rPr>
            </w:pPr>
            <w:bookmarkStart w:id="11" w:name="1040487438"/>
            <w:r>
              <w:rPr>
                <w:rFonts w:ascii="Times New Roman" w:hAnsi="Times New Roman" w:eastAsia="楷体" w:cs="Times New Roman"/>
                <w:color w:val="000000"/>
                <w:lang w:val="ru-RU"/>
              </w:rPr>
              <w:t>- Договор не является мнимым и притворным;</w:t>
            </w:r>
          </w:p>
          <w:bookmarkEnd w:id="11"/>
          <w:p>
            <w:pPr>
              <w:spacing w:after="0" w:line="240" w:lineRule="exact"/>
              <w:jc w:val="both"/>
              <w:rPr>
                <w:rFonts w:ascii="Times New Roman" w:hAnsi="Times New Roman" w:eastAsia="楷体" w:cs="Times New Roman"/>
                <w:color w:val="000000" w:themeColor="text1"/>
                <w:szCs w:val="28"/>
                <w:lang w:val="ru-RU"/>
                <w14:textFill>
                  <w14:solidFill>
                    <w14:schemeClr w14:val="tx1"/>
                  </w14:solidFill>
                </w14:textFill>
              </w:rPr>
            </w:pPr>
            <w:r>
              <w:rPr>
                <w:rFonts w:ascii="Times New Roman" w:hAnsi="Times New Roman" w:eastAsia="楷体" w:cs="Times New Roman"/>
                <w:color w:val="000000"/>
                <w:lang w:val="ru-RU"/>
              </w:rPr>
              <w:t>- обладают правоспособностью и дееспособностью, позволяющими вступать в гражданско-правовые отношения.</w:t>
            </w:r>
          </w:p>
        </w:tc>
        <w:tc>
          <w:tcPr>
            <w:tcW w:w="2148" w:type="pct"/>
            <w:vAlign w:val="center"/>
          </w:tcPr>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11.7 </w:t>
            </w:r>
            <w:r>
              <w:rPr>
                <w:rFonts w:ascii="Times New Roman" w:hAnsi="Times New Roman" w:eastAsia="楷体" w:cs="Times New Roman"/>
                <w:bCs/>
                <w:color w:val="000000" w:themeColor="text1"/>
                <w:szCs w:val="24"/>
                <w:lang w:eastAsia="zh-CN"/>
                <w14:textFill>
                  <w14:solidFill>
                    <w14:schemeClr w14:val="tx1"/>
                  </w14:solidFill>
                </w14:textFill>
              </w:rPr>
              <w:t>双方在此确认</w:t>
            </w:r>
            <w:r>
              <w:rPr>
                <w:rFonts w:ascii="Times New Roman" w:hAnsi="Times New Roman" w:eastAsia="楷体" w:cs="Times New Roman"/>
                <w:bCs/>
                <w:color w:val="000000" w:themeColor="text1"/>
                <w:szCs w:val="24"/>
                <w:lang w:val="ru-RU" w:eastAsia="zh-CN"/>
                <w14:textFill>
                  <w14:solidFill>
                    <w14:schemeClr w14:val="tx1"/>
                  </w14:solidFill>
                </w14:textFill>
              </w:rPr>
              <w:t>，</w:t>
            </w:r>
            <w:r>
              <w:rPr>
                <w:rFonts w:ascii="Times New Roman" w:hAnsi="Times New Roman" w:eastAsia="楷体" w:cs="Times New Roman"/>
                <w:bCs/>
                <w:color w:val="000000" w:themeColor="text1"/>
                <w:szCs w:val="24"/>
                <w:lang w:eastAsia="zh-CN"/>
                <w14:textFill>
                  <w14:solidFill>
                    <w14:schemeClr w14:val="tx1"/>
                  </w14:solidFill>
                </w14:textFill>
              </w:rPr>
              <w:t>在签署本合同时</w:t>
            </w:r>
            <w:r>
              <w:rPr>
                <w:rFonts w:ascii="Times New Roman" w:hAnsi="Times New Roman" w:eastAsia="楷体" w:cs="Times New Roman"/>
                <w:bCs/>
                <w:color w:val="000000" w:themeColor="text1"/>
                <w:szCs w:val="24"/>
                <w:lang w:val="ru-RU" w:eastAsia="zh-CN"/>
                <w14:textFill>
                  <w14:solidFill>
                    <w14:schemeClr w14:val="tx1"/>
                  </w14:solidFill>
                </w14:textFill>
              </w:rPr>
              <w:t>：</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未受到欺诈、胁迫或威胁的影响</w:t>
            </w:r>
            <w:r>
              <w:rPr>
                <w:rFonts w:ascii="Times New Roman" w:hAnsi="Times New Roman" w:eastAsia="楷体" w:cs="Times New Roman"/>
                <w:bCs/>
                <w:color w:val="000000" w:themeColor="text1"/>
                <w:szCs w:val="24"/>
                <w:lang w:val="ru-RU" w:eastAsia="zh-CN"/>
                <w14:textFill>
                  <w14:solidFill>
                    <w14:schemeClr w14:val="tx1"/>
                  </w14:solidFill>
                </w14:textFill>
              </w:rPr>
              <w:t>；</w:t>
            </w:r>
          </w:p>
          <w:p>
            <w:pPr>
              <w:adjustRightInd w:val="0"/>
              <w:snapToGrid w:val="0"/>
              <w:spacing w:before="120" w:beforeLines="50"/>
              <w:rPr>
                <w:rFonts w:ascii="Times New Roman" w:hAnsi="Times New Roman" w:eastAsia="楷体" w:cs="Times New Roman"/>
                <w:bCs/>
                <w:color w:val="000000" w:themeColor="text1"/>
                <w:szCs w:val="24"/>
                <w:lang w:val="ru-RU" w:eastAsia="zh-CN"/>
                <w14:textFill>
                  <w14:solidFill>
                    <w14:schemeClr w14:val="tx1"/>
                  </w14:solidFill>
                </w14:textFill>
              </w:rPr>
            </w:pPr>
            <w:r>
              <w:rPr>
                <w:rFonts w:ascii="Times New Roman" w:hAnsi="Times New Roman" w:eastAsia="楷体" w:cs="Times New Roman"/>
                <w:bCs/>
                <w:color w:val="000000" w:themeColor="text1"/>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Cs w:val="24"/>
                <w:lang w:eastAsia="zh-CN"/>
                <w14:textFill>
                  <w14:solidFill>
                    <w14:schemeClr w14:val="tx1"/>
                  </w14:solidFill>
                </w14:textFill>
              </w:rPr>
              <w:t>本合同并非虚假或伪装合同</w:t>
            </w:r>
            <w:r>
              <w:rPr>
                <w:rFonts w:ascii="Times New Roman" w:hAnsi="Times New Roman" w:eastAsia="楷体" w:cs="Times New Roman"/>
                <w:bCs/>
                <w:color w:val="000000" w:themeColor="text1"/>
                <w:szCs w:val="24"/>
                <w:lang w:val="ru-RU" w:eastAsia="zh-CN"/>
                <w14:textFill>
                  <w14:solidFill>
                    <w14:schemeClr w14:val="tx1"/>
                  </w14:solidFill>
                </w14:textFill>
              </w:rPr>
              <w:t>；</w:t>
            </w:r>
          </w:p>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 </w:t>
            </w:r>
            <w:r>
              <w:rPr>
                <w:rFonts w:ascii="Times New Roman" w:hAnsi="Times New Roman" w:eastAsia="楷体" w:cs="Times New Roman"/>
                <w:bCs/>
                <w:color w:val="000000" w:themeColor="text1"/>
                <w:sz w:val="24"/>
                <w:szCs w:val="24"/>
                <w:lang w:eastAsia="zh-CN"/>
                <w14:textFill>
                  <w14:solidFill>
                    <w14:schemeClr w14:val="tx1"/>
                  </w14:solidFill>
                </w14:textFill>
              </w:rPr>
              <w:t>双方具备相应的民事权利能力和民事行为能力</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能够合法参与民事法律关系。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pStyle w:val="34"/>
              <w:spacing w:beforeAutospacing="1"/>
              <w:jc w:val="both"/>
              <w:rPr>
                <w:rFonts w:eastAsia="楷体"/>
                <w:color w:val="000000" w:themeColor="text1"/>
                <w:szCs w:val="28"/>
                <w:lang w:eastAsia="en-US"/>
                <w14:textFill>
                  <w14:solidFill>
                    <w14:schemeClr w14:val="tx1"/>
                  </w14:solidFill>
                </w14:textFill>
              </w:rPr>
            </w:pPr>
            <w:bookmarkStart w:id="12" w:name="OLE_LINK1" w:colFirst="0" w:colLast="1"/>
            <w:r>
              <w:rPr>
                <w:rFonts w:eastAsia="楷体"/>
                <w:color w:val="000000"/>
                <w:lang w:val="kk-KZ"/>
              </w:rPr>
              <w:t>11.8</w:t>
            </w:r>
            <w:r>
              <w:rPr>
                <w:rFonts w:eastAsia="楷体"/>
                <w:color w:val="000000"/>
              </w:rPr>
              <w:t>. Настоящий Договор составлен на</w:t>
            </w:r>
            <w:r>
              <w:rPr>
                <w:rFonts w:eastAsia="楷体"/>
                <w:color w:val="000000"/>
                <w:lang w:val="kk-KZ"/>
              </w:rPr>
              <w:t xml:space="preserve"> </w:t>
            </w:r>
            <w:r>
              <w:rPr>
                <w:rFonts w:eastAsia="楷体"/>
                <w:color w:val="000000"/>
              </w:rPr>
              <w:t xml:space="preserve">русском </w:t>
            </w:r>
            <w:r>
              <w:rPr>
                <w:rFonts w:eastAsia="楷体"/>
                <w:color w:val="000000"/>
                <w:lang w:val="kk-KZ"/>
              </w:rPr>
              <w:t xml:space="preserve">и китайском </w:t>
            </w:r>
            <w:r>
              <w:rPr>
                <w:rFonts w:eastAsia="楷体"/>
                <w:color w:val="000000"/>
              </w:rPr>
              <w:t>язык</w:t>
            </w:r>
            <w:r>
              <w:rPr>
                <w:rFonts w:eastAsia="楷体"/>
                <w:color w:val="000000"/>
                <w:lang w:val="kk-KZ"/>
              </w:rPr>
              <w:t>ах</w:t>
            </w:r>
            <w:r>
              <w:rPr>
                <w:rFonts w:eastAsia="楷体"/>
                <w:color w:val="000000"/>
              </w:rPr>
              <w:t>, в двух подлинных экземплярах, по одному для каждой Стороны, каждый из которых имеет одинаковую юридическую силу.</w:t>
            </w:r>
          </w:p>
        </w:tc>
        <w:tc>
          <w:tcPr>
            <w:tcW w:w="2148" w:type="pct"/>
            <w:vAlign w:val="center"/>
          </w:tcPr>
          <w:p>
            <w:pPr>
              <w:pStyle w:val="148"/>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 w:val="24"/>
                <w:szCs w:val="24"/>
                <w:lang w:val="ru-RU" w:eastAsia="zh-CN"/>
                <w14:textFill>
                  <w14:solidFill>
                    <w14:schemeClr w14:val="tx1"/>
                  </w14:solidFill>
                </w14:textFill>
              </w:rPr>
              <w:t xml:space="preserve">11.8 </w:t>
            </w:r>
            <w:r>
              <w:rPr>
                <w:rFonts w:ascii="Times New Roman" w:hAnsi="Times New Roman" w:eastAsia="楷体" w:cs="Times New Roman"/>
                <w:bCs/>
                <w:color w:val="000000" w:themeColor="text1"/>
                <w:sz w:val="24"/>
                <w:szCs w:val="24"/>
                <w:lang w:eastAsia="zh-CN"/>
                <w14:textFill>
                  <w14:solidFill>
                    <w14:schemeClr w14:val="tx1"/>
                  </w14:solidFill>
                </w14:textFill>
              </w:rPr>
              <w:t>本合同以俄文和中文</w:t>
            </w:r>
            <w:r>
              <w:rPr>
                <w:rFonts w:hint="eastAsia" w:ascii="Times New Roman" w:hAnsi="Times New Roman" w:eastAsia="楷体" w:cs="Times New Roman"/>
                <w:bCs/>
                <w:color w:val="000000" w:themeColor="text1"/>
                <w:sz w:val="24"/>
                <w:szCs w:val="24"/>
                <w:lang w:eastAsia="zh-CN"/>
                <w14:textFill>
                  <w14:solidFill>
                    <w14:schemeClr w14:val="tx1"/>
                  </w14:solidFill>
                </w14:textFill>
              </w:rPr>
              <w:t>两</w:t>
            </w:r>
            <w:r>
              <w:rPr>
                <w:rFonts w:ascii="Times New Roman" w:hAnsi="Times New Roman" w:eastAsia="楷体" w:cs="Times New Roman"/>
                <w:bCs/>
                <w:color w:val="000000" w:themeColor="text1"/>
                <w:sz w:val="24"/>
                <w:szCs w:val="24"/>
                <w:lang w:eastAsia="zh-CN"/>
                <w14:textFill>
                  <w14:solidFill>
                    <w14:schemeClr w14:val="tx1"/>
                  </w14:solidFill>
                </w14:textFill>
              </w:rPr>
              <w:t>种语言文本订立</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一式两份</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双方各执一份</w:t>
            </w:r>
            <w:r>
              <w:rPr>
                <w:rFonts w:ascii="Times New Roman" w:hAnsi="Times New Roman" w:eastAsia="楷体" w:cs="Times New Roman"/>
                <w:bCs/>
                <w:color w:val="000000" w:themeColor="text1"/>
                <w:sz w:val="24"/>
                <w:szCs w:val="24"/>
                <w:lang w:val="ru-RU" w:eastAsia="zh-CN"/>
                <w14:textFill>
                  <w14:solidFill>
                    <w14:schemeClr w14:val="tx1"/>
                  </w14:solidFill>
                </w14:textFill>
              </w:rPr>
              <w:t>，</w:t>
            </w:r>
            <w:r>
              <w:rPr>
                <w:rFonts w:ascii="Times New Roman" w:hAnsi="Times New Roman" w:eastAsia="楷体" w:cs="Times New Roman"/>
                <w:bCs/>
                <w:color w:val="000000" w:themeColor="text1"/>
                <w:sz w:val="24"/>
                <w:szCs w:val="24"/>
                <w:lang w:eastAsia="zh-CN"/>
                <w14:textFill>
                  <w14:solidFill>
                    <w14:schemeClr w14:val="tx1"/>
                  </w14:solidFill>
                </w14:textFill>
              </w:rPr>
              <w:t>具有同等法律效力。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spacing w:before="120" w:after="120" w:line="240" w:lineRule="exact"/>
              <w:jc w:val="both"/>
              <w:rPr>
                <w:rFonts w:ascii="Times New Roman" w:hAnsi="Times New Roman" w:eastAsia="楷体" w:cs="Times New Roman"/>
                <w:lang w:val="ru-RU"/>
              </w:rPr>
            </w:pPr>
            <w:bookmarkStart w:id="13" w:name="1040487441"/>
            <w:r>
              <w:rPr>
                <w:rFonts w:ascii="Times New Roman" w:hAnsi="Times New Roman" w:eastAsia="楷体" w:cs="Times New Roman"/>
                <w:b/>
                <w:color w:val="000000"/>
                <w:lang w:val="ru-RU"/>
              </w:rPr>
              <w:t>1</w:t>
            </w:r>
            <w:r>
              <w:rPr>
                <w:rFonts w:ascii="Times New Roman" w:hAnsi="Times New Roman" w:eastAsia="楷体" w:cs="Times New Roman"/>
                <w:b/>
                <w:color w:val="000000"/>
                <w:lang w:val="kk-KZ"/>
              </w:rPr>
              <w:t>2</w:t>
            </w:r>
            <w:r>
              <w:rPr>
                <w:rFonts w:ascii="Times New Roman" w:hAnsi="Times New Roman" w:eastAsia="楷体" w:cs="Times New Roman"/>
                <w:b/>
                <w:color w:val="000000"/>
                <w:lang w:val="ru-RU"/>
              </w:rPr>
              <w:t>. Реквизиты, юридические адреса и подписи Сторон:</w:t>
            </w:r>
          </w:p>
          <w:bookmarkEnd w:id="13"/>
          <w:p>
            <w:pPr>
              <w:spacing w:after="0" w:line="240" w:lineRule="exact"/>
              <w:jc w:val="both"/>
              <w:rPr>
                <w:rFonts w:ascii="Times New Roman" w:hAnsi="Times New Roman" w:eastAsia="楷体" w:cs="Times New Roman"/>
                <w:color w:val="000000" w:themeColor="text1"/>
                <w:szCs w:val="28"/>
                <w:highlight w:val="yellow"/>
                <w:lang w:val="ru-RU" w:eastAsia="zh-CN"/>
                <w14:textFill>
                  <w14:solidFill>
                    <w14:schemeClr w14:val="tx1"/>
                  </w14:solidFill>
                </w14:textFill>
              </w:rPr>
            </w:pPr>
            <w:r>
              <w:rPr>
                <w:rFonts w:ascii="Times New Roman" w:hAnsi="Times New Roman" w:eastAsia="楷体" w:cs="Times New Roman"/>
                <w:b/>
                <w:color w:val="000000"/>
                <w:u w:val="single"/>
                <w:lang w:val="ru-RU"/>
              </w:rPr>
              <w:t>Покупатель:</w:t>
            </w:r>
          </w:p>
        </w:tc>
        <w:tc>
          <w:tcPr>
            <w:tcW w:w="2148" w:type="pct"/>
            <w:vAlign w:val="center"/>
          </w:tcPr>
          <w:p>
            <w:pPr>
              <w:pStyle w:val="148"/>
              <w:jc w:val="both"/>
              <w:rPr>
                <w:rFonts w:ascii="Times New Roman" w:hAnsi="Times New Roman" w:eastAsia="楷体" w:cs="Times New Roman"/>
                <w:color w:val="000000" w:themeColor="text1"/>
                <w:sz w:val="24"/>
                <w:lang w:eastAsia="zh-CN"/>
                <w14:textFill>
                  <w14:solidFill>
                    <w14:schemeClr w14:val="tx1"/>
                  </w14:solidFill>
                </w14:textFill>
              </w:rPr>
            </w:pPr>
            <w:r>
              <w:rPr>
                <w:rFonts w:ascii="Times New Roman" w:hAnsi="Times New Roman" w:eastAsia="楷体" w:cs="Times New Roman"/>
                <w:bCs/>
                <w:color w:val="000000" w:themeColor="text1"/>
                <w:sz w:val="24"/>
                <w:szCs w:val="24"/>
                <w:lang w:eastAsia="zh-CN"/>
                <w14:textFill>
                  <w14:solidFill>
                    <w14:schemeClr w14:val="tx1"/>
                  </w14:solidFill>
                </w14:textFill>
              </w:rPr>
              <w:t>12. 双方的详细信息、法定地址及签字：</w:t>
            </w:r>
          </w:p>
        </w:tc>
      </w:tr>
      <w:bookmarkEnd w:id="12"/>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7" w:hRule="atLeast"/>
          <w:jc w:val="center"/>
        </w:trPr>
        <w:tc>
          <w:tcPr>
            <w:tcW w:w="2851" w:type="pct"/>
          </w:tcPr>
          <w:p>
            <w:pPr>
              <w:pStyle w:val="34"/>
              <w:shd w:val="clear" w:color="auto" w:fill="FFFFFF"/>
              <w:jc w:val="both"/>
              <w:rPr>
                <w:rFonts w:ascii="Times New Roman" w:hAnsi="Times New Roman" w:eastAsia="楷体" w:cs="Times New Roman"/>
                <w:b/>
                <w:bCs/>
                <w:color w:val="000000" w:themeColor="text1"/>
                <w:szCs w:val="28"/>
                <w:lang w:val="ru-RU"/>
                <w14:textFill>
                  <w14:solidFill>
                    <w14:schemeClr w14:val="tx1"/>
                  </w14:solidFill>
                </w14:textFill>
              </w:rPr>
            </w:pPr>
            <w:r>
              <w:rPr>
                <w:rFonts w:eastAsia="楷体"/>
                <w:b/>
                <w:bCs/>
                <w:color w:val="000000" w:themeColor="text1"/>
                <w:shd w:val="clear" w:color="auto" w:fill="FFFFFF"/>
                <w14:textFill>
                  <w14:solidFill>
                    <w14:schemeClr w14:val="tx1"/>
                  </w14:solidFill>
                </w14:textFill>
              </w:rPr>
              <w:t>Покупатель:</w:t>
            </w:r>
          </w:p>
        </w:tc>
        <w:tc>
          <w:tcPr>
            <w:tcW w:w="2148" w:type="pct"/>
            <w:vAlign w:val="center"/>
          </w:tcPr>
          <w:p>
            <w:pPr>
              <w:spacing w:before="100" w:beforeAutospacing="1" w:after="100" w:afterAutospacing="1" w:line="240" w:lineRule="auto"/>
              <w:jc w:val="both"/>
              <w:rPr>
                <w:rFonts w:ascii="Times New Roman" w:hAnsi="Times New Roman" w:eastAsia="楷体" w:cs="Times New Roman"/>
                <w:color w:val="000000" w:themeColor="text1"/>
                <w:sz w:val="24"/>
                <w:lang w:val="ru-RU" w:eastAsia="zh-CN"/>
                <w14:textFill>
                  <w14:solidFill>
                    <w14:schemeClr w14:val="tx1"/>
                  </w14:solidFill>
                </w14:textFill>
              </w:rPr>
            </w:pPr>
            <w:r>
              <w:rPr>
                <w:rFonts w:ascii="Times New Roman" w:hAnsi="Times New Roman" w:eastAsia="楷体" w:cs="Times New Roman"/>
                <w:bCs/>
                <w:color w:val="000000" w:themeColor="text1"/>
                <w:szCs w:val="24"/>
                <w:lang w:eastAsia="zh-CN"/>
                <w14:textFill>
                  <w14:solidFill>
                    <w14:schemeClr w14:val="tx1"/>
                  </w14:solidFill>
                </w14:textFill>
              </w:rPr>
              <w:t>买方</w:t>
            </w:r>
            <w:r>
              <w:rPr>
                <w:rFonts w:ascii="Times New Roman" w:hAnsi="Times New Roman" w:eastAsia="楷体" w:cs="Times New Roman"/>
                <w:bCs/>
                <w:color w:val="000000" w:themeColor="text1"/>
                <w:szCs w:val="24"/>
                <w:lang w:val="ru-RU"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851" w:type="pct"/>
          </w:tcPr>
          <w:p>
            <w:pPr>
              <w:rPr>
                <w:rFonts w:ascii="Times New Roman" w:hAnsi="Times New Roman" w:eastAsia="楷体" w:cs="Times New Roman"/>
                <w:b/>
                <w:szCs w:val="24"/>
              </w:rPr>
            </w:pPr>
            <w:r>
              <w:rPr>
                <w:rFonts w:ascii="Times New Roman" w:hAnsi="Times New Roman" w:eastAsia="楷体" w:cs="Times New Roman"/>
                <w:b/>
                <w:szCs w:val="24"/>
              </w:rPr>
              <w:t>Продавец: *********</w:t>
            </w:r>
          </w:p>
          <w:p>
            <w:pPr>
              <w:rPr>
                <w:rFonts w:ascii="Times New Roman" w:hAnsi="Times New Roman" w:eastAsia="楷体" w:cs="Times New Roman"/>
                <w:bCs/>
                <w:szCs w:val="24"/>
                <w:lang w:val="ru-RU"/>
              </w:rPr>
            </w:pPr>
            <w:r>
              <w:rPr>
                <w:rFonts w:ascii="Times New Roman" w:hAnsi="Times New Roman" w:eastAsia="楷体" w:cs="Times New Roman"/>
                <w:bCs/>
                <w:szCs w:val="24"/>
              </w:rPr>
              <w:t xml:space="preserve">Индивидуальный идентификационный номер (ИИН): </w:t>
            </w:r>
            <w:r>
              <w:rPr>
                <w:rFonts w:ascii="Times New Roman" w:hAnsi="Times New Roman" w:eastAsia="楷体" w:cs="Times New Roman"/>
                <w:bCs/>
                <w:szCs w:val="24"/>
                <w:lang w:val="ru-RU"/>
              </w:rPr>
              <w:t>_________</w:t>
            </w:r>
            <w:r>
              <w:rPr>
                <w:rFonts w:ascii="Times New Roman" w:hAnsi="Times New Roman" w:eastAsia="楷体" w:cs="Times New Roman"/>
                <w:bCs/>
                <w:szCs w:val="24"/>
              </w:rPr>
              <w:br w:type="textWrapping"/>
            </w:r>
            <w:r>
              <w:rPr>
                <w:rFonts w:ascii="Times New Roman" w:hAnsi="Times New Roman" w:eastAsia="楷体" w:cs="Times New Roman"/>
                <w:bCs/>
                <w:szCs w:val="24"/>
              </w:rPr>
              <w:t xml:space="preserve">Адрес: </w:t>
            </w:r>
            <w:r>
              <w:rPr>
                <w:rFonts w:ascii="Times New Roman" w:hAnsi="Times New Roman" w:eastAsia="楷体" w:cs="Times New Roman"/>
                <w:bCs/>
                <w:szCs w:val="24"/>
                <w:lang w:val="ru-RU"/>
              </w:rPr>
              <w:t>____________</w:t>
            </w:r>
          </w:p>
          <w:p>
            <w:pPr>
              <w:rPr>
                <w:rFonts w:ascii="Times New Roman" w:hAnsi="Times New Roman" w:eastAsia="楷体" w:cs="Times New Roman"/>
                <w:bCs/>
                <w:szCs w:val="24"/>
                <w:lang w:val="ru-RU"/>
              </w:rPr>
            </w:pPr>
            <w:r>
              <w:rPr>
                <w:rFonts w:ascii="Times New Roman" w:hAnsi="Times New Roman" w:eastAsia="楷体" w:cs="Times New Roman"/>
                <w:bCs/>
                <w:szCs w:val="24"/>
              </w:rPr>
              <w:br w:type="textWrapping"/>
            </w:r>
            <w:r>
              <w:rPr>
                <w:rFonts w:ascii="Times New Roman" w:hAnsi="Times New Roman" w:eastAsia="楷体" w:cs="Times New Roman"/>
                <w:bCs/>
                <w:szCs w:val="24"/>
              </w:rPr>
              <w:t>Банковские реквизиты:</w:t>
            </w:r>
            <w:r>
              <w:rPr>
                <w:rFonts w:ascii="Times New Roman" w:hAnsi="Times New Roman" w:eastAsia="楷体" w:cs="Times New Roman"/>
                <w:bCs/>
                <w:szCs w:val="24"/>
              </w:rPr>
              <w:br w:type="textWrapping"/>
            </w:r>
            <w:r>
              <w:rPr>
                <w:rFonts w:ascii="Times New Roman" w:hAnsi="Times New Roman" w:eastAsia="楷体" w:cs="Times New Roman"/>
                <w:bCs/>
                <w:szCs w:val="24"/>
              </w:rPr>
              <w:t xml:space="preserve">Название банка: </w:t>
            </w:r>
            <w:r>
              <w:rPr>
                <w:rFonts w:ascii="Times New Roman" w:hAnsi="Times New Roman" w:eastAsia="楷体" w:cs="Times New Roman"/>
                <w:bCs/>
                <w:szCs w:val="24"/>
                <w:lang w:val="ru-RU"/>
              </w:rPr>
              <w:t>______________</w:t>
            </w:r>
            <w:r>
              <w:rPr>
                <w:rFonts w:ascii="Times New Roman" w:hAnsi="Times New Roman" w:eastAsia="楷体" w:cs="Times New Roman"/>
                <w:bCs/>
                <w:szCs w:val="24"/>
              </w:rPr>
              <w:br w:type="textWrapping"/>
            </w:r>
            <w:r>
              <w:rPr>
                <w:rFonts w:ascii="Times New Roman" w:hAnsi="Times New Roman" w:eastAsia="楷体" w:cs="Times New Roman"/>
                <w:bCs/>
                <w:szCs w:val="24"/>
              </w:rPr>
              <w:t xml:space="preserve">Соответствующий счет (ИИК): </w:t>
            </w:r>
            <w:r>
              <w:rPr>
                <w:rFonts w:ascii="Times New Roman" w:hAnsi="Times New Roman" w:eastAsia="楷体" w:cs="Times New Roman"/>
                <w:bCs/>
                <w:szCs w:val="24"/>
                <w:lang w:val="ru-RU"/>
              </w:rPr>
              <w:t>_____________</w:t>
            </w:r>
            <w:r>
              <w:rPr>
                <w:rFonts w:ascii="Times New Roman" w:hAnsi="Times New Roman" w:eastAsia="楷体" w:cs="Times New Roman"/>
                <w:bCs/>
                <w:szCs w:val="24"/>
              </w:rPr>
              <w:br w:type="textWrapping"/>
            </w:r>
            <w:r>
              <w:rPr>
                <w:rFonts w:ascii="Times New Roman" w:hAnsi="Times New Roman" w:eastAsia="楷体" w:cs="Times New Roman"/>
                <w:bCs/>
                <w:szCs w:val="24"/>
              </w:rPr>
              <w:t xml:space="preserve">Банковский идентификационный код (БИК): </w:t>
            </w:r>
            <w:r>
              <w:rPr>
                <w:rFonts w:ascii="Times New Roman" w:hAnsi="Times New Roman" w:eastAsia="楷体" w:cs="Times New Roman"/>
                <w:bCs/>
                <w:szCs w:val="24"/>
                <w:lang w:val="ru-RU"/>
              </w:rPr>
              <w:t>_______________</w:t>
            </w:r>
            <w:r>
              <w:rPr>
                <w:rFonts w:ascii="Times New Roman" w:hAnsi="Times New Roman" w:eastAsia="楷体" w:cs="Times New Roman"/>
                <w:bCs/>
                <w:szCs w:val="24"/>
              </w:rPr>
              <w:br w:type="textWrapping"/>
            </w:r>
            <w:r>
              <w:rPr>
                <w:rFonts w:ascii="Times New Roman" w:hAnsi="Times New Roman" w:eastAsia="楷体" w:cs="Times New Roman"/>
                <w:bCs/>
                <w:szCs w:val="24"/>
              </w:rPr>
              <w:t xml:space="preserve">Код классификации размера предприятия (КБЕ): </w:t>
            </w:r>
            <w:r>
              <w:rPr>
                <w:rFonts w:ascii="Times New Roman" w:hAnsi="Times New Roman" w:eastAsia="楷体" w:cs="Times New Roman"/>
                <w:bCs/>
                <w:szCs w:val="24"/>
                <w:lang w:val="ru-RU"/>
              </w:rPr>
              <w:t>________________</w:t>
            </w:r>
          </w:p>
          <w:p>
            <w:pPr>
              <w:rPr>
                <w:rFonts w:ascii="Times New Roman" w:hAnsi="Times New Roman" w:eastAsia="楷体" w:cs="Times New Roman"/>
                <w:b/>
                <w:bCs/>
                <w:szCs w:val="28"/>
                <w:highlight w:val="cyan"/>
              </w:rPr>
            </w:pPr>
          </w:p>
        </w:tc>
        <w:tc>
          <w:tcPr>
            <w:tcW w:w="2148" w:type="pct"/>
            <w:vAlign w:val="center"/>
          </w:tcPr>
          <w:p>
            <w:pPr>
              <w:rPr>
                <w:rFonts w:ascii="Times New Roman" w:hAnsi="Times New Roman" w:eastAsia="楷体" w:cs="Times New Roman"/>
                <w:bCs/>
                <w:color w:val="auto"/>
                <w:szCs w:val="24"/>
                <w:highlight w:val="none"/>
                <w:lang w:eastAsia="zh-CN"/>
              </w:rPr>
            </w:pPr>
            <w:r>
              <w:rPr>
                <w:rFonts w:hint="eastAsia" w:ascii="Times New Roman" w:hAnsi="Times New Roman" w:eastAsia="楷体" w:cs="Times New Roman"/>
                <w:bCs/>
                <w:color w:val="auto"/>
                <w:szCs w:val="24"/>
                <w:highlight w:val="none"/>
                <w:lang w:eastAsia="zh-CN"/>
              </w:rPr>
              <w:t>卖</w:t>
            </w:r>
            <w:r>
              <w:rPr>
                <w:rFonts w:ascii="Times New Roman" w:hAnsi="Times New Roman" w:eastAsia="楷体" w:cs="Times New Roman"/>
                <w:bCs/>
                <w:color w:val="auto"/>
                <w:szCs w:val="24"/>
                <w:highlight w:val="none"/>
                <w:lang w:val="kk-KZ" w:eastAsia="zh-CN"/>
              </w:rPr>
              <w:t>方：</w:t>
            </w:r>
            <w:r>
              <w:rPr>
                <w:rFonts w:hint="eastAsia" w:ascii="Times New Roman" w:hAnsi="Times New Roman" w:eastAsia="楷体" w:cs="Times New Roman"/>
                <w:bCs/>
                <w:color w:val="auto"/>
                <w:szCs w:val="24"/>
                <w:highlight w:val="none"/>
                <w:lang w:eastAsia="zh-CN"/>
              </w:rPr>
              <w:t>*********</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个人识别税号 (ИИН)：</w:t>
            </w:r>
            <w:r>
              <w:rPr>
                <w:rFonts w:hint="eastAsia" w:ascii="Times New Roman" w:hAnsi="Times New Roman" w:eastAsia="楷体" w:cs="Times New Roman"/>
                <w:bCs/>
                <w:color w:val="auto"/>
                <w:szCs w:val="24"/>
                <w:highlight w:val="none"/>
                <w:lang w:eastAsia="zh-CN"/>
              </w:rPr>
              <w:t>*******</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地址：</w:t>
            </w:r>
            <w:r>
              <w:rPr>
                <w:rFonts w:hint="eastAsia" w:ascii="Times New Roman" w:hAnsi="Times New Roman" w:eastAsia="楷体" w:cs="Times New Roman"/>
                <w:bCs/>
                <w:color w:val="auto"/>
                <w:szCs w:val="24"/>
                <w:highlight w:val="none"/>
                <w:lang w:eastAsia="zh-CN"/>
              </w:rPr>
              <w:t>*********</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银行账户信息：</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银行名称： </w:t>
            </w:r>
            <w:r>
              <w:rPr>
                <w:rFonts w:hint="eastAsia" w:ascii="Times New Roman" w:hAnsi="Times New Roman" w:eastAsia="楷体" w:cs="Times New Roman"/>
                <w:bCs/>
                <w:color w:val="auto"/>
                <w:szCs w:val="24"/>
                <w:highlight w:val="none"/>
                <w:lang w:eastAsia="zh-CN"/>
              </w:rPr>
              <w:t>*********</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对应账号 (ИИК)：</w:t>
            </w:r>
            <w:r>
              <w:rPr>
                <w:rFonts w:hint="eastAsia" w:ascii="Times New Roman" w:hAnsi="Times New Roman" w:eastAsia="楷体" w:cs="Times New Roman"/>
                <w:bCs/>
                <w:color w:val="auto"/>
                <w:szCs w:val="24"/>
                <w:highlight w:val="none"/>
                <w:lang w:eastAsia="zh-CN"/>
              </w:rPr>
              <w:t>***********</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银行识别码 (БИК)： </w:t>
            </w:r>
            <w:r>
              <w:rPr>
                <w:rFonts w:hint="eastAsia" w:ascii="Times New Roman" w:hAnsi="Times New Roman" w:eastAsia="楷体" w:cs="Times New Roman"/>
                <w:bCs/>
                <w:color w:val="auto"/>
                <w:szCs w:val="24"/>
                <w:highlight w:val="none"/>
                <w:lang w:eastAsia="zh-CN"/>
              </w:rPr>
              <w:t>***********</w:t>
            </w:r>
            <w:r>
              <w:rPr>
                <w:rFonts w:ascii="Times New Roman" w:hAnsi="Times New Roman" w:eastAsia="楷体" w:cs="Times New Roman"/>
                <w:bCs/>
                <w:color w:val="auto"/>
                <w:szCs w:val="24"/>
                <w:highlight w:val="none"/>
                <w:lang w:val="ru-RU" w:eastAsia="zh-CN"/>
              </w:rPr>
              <w:br w:type="textWrapping"/>
            </w:r>
            <w:r>
              <w:rPr>
                <w:rFonts w:ascii="Times New Roman" w:hAnsi="Times New Roman" w:eastAsia="楷体" w:cs="Times New Roman"/>
                <w:bCs/>
                <w:color w:val="auto"/>
                <w:szCs w:val="24"/>
                <w:highlight w:val="none"/>
                <w:lang w:val="ru-RU" w:eastAsia="zh-CN"/>
              </w:rPr>
              <w:t>企业规模分类代码 (КБЕ)： </w:t>
            </w:r>
            <w:r>
              <w:rPr>
                <w:rFonts w:hint="eastAsia" w:ascii="Times New Roman" w:hAnsi="Times New Roman" w:eastAsia="楷体" w:cs="Times New Roman"/>
                <w:bCs/>
                <w:color w:val="auto"/>
                <w:szCs w:val="24"/>
                <w:highlight w:val="none"/>
                <w:lang w:eastAsia="zh-CN"/>
              </w:rPr>
              <w:t>********</w:t>
            </w:r>
          </w:p>
          <w:p>
            <w:pPr>
              <w:rPr>
                <w:highlight w:val="cyan"/>
                <w:lang w:eastAsia="zh-CN"/>
              </w:rPr>
            </w:pPr>
          </w:p>
        </w:tc>
      </w:tr>
    </w:tbl>
    <w:p>
      <w:pPr>
        <w:rPr>
          <w:rFonts w:ascii="Times New Roman" w:hAnsi="Times New Roman" w:cs="Times New Roman"/>
          <w:sz w:val="28"/>
          <w:szCs w:val="28"/>
          <w:lang w:val="kk-KZ" w:eastAsia="zh-CN"/>
        </w:rPr>
      </w:pPr>
      <w:r>
        <w:rPr>
          <w:rFonts w:ascii="Times New Roman" w:hAnsi="Times New Roman" w:cs="Times New Roman"/>
          <w:sz w:val="28"/>
          <w:szCs w:val="28"/>
          <w:lang w:val="kk-KZ" w:eastAsia="zh-CN"/>
        </w:rPr>
        <w:br w:type="page"/>
      </w: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94"/>
        <w:gridCol w:w="689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94" w:type="dxa"/>
          </w:tcPr>
          <w:p>
            <w:pPr>
              <w:spacing w:before="120" w:after="120" w:line="240" w:lineRule="exact"/>
              <w:rPr>
                <w:rFonts w:ascii="Times New Roman" w:hAnsi="Times New Roman" w:eastAsia="楷体" w:cs="Times New Roman"/>
                <w:b/>
                <w:lang w:val="ru-RU" w:eastAsia="zh-CN"/>
              </w:rPr>
            </w:pPr>
            <w:r>
              <w:rPr>
                <w:rFonts w:ascii="Times New Roman" w:hAnsi="Times New Roman" w:eastAsia="楷体" w:cs="Times New Roman"/>
                <w:b/>
                <w:lang w:val="ru-RU" w:eastAsia="zh-CN"/>
              </w:rPr>
              <w:t xml:space="preserve">Договор на закупку лифтов для производственно-офисного здания проекта ПГУ (парогазовой установки) мощностью 160 Мв в г.Актау Мангистауской области  </w:t>
            </w:r>
          </w:p>
          <w:p>
            <w:pPr>
              <w:spacing w:before="120" w:after="120" w:line="240" w:lineRule="exact"/>
              <w:rPr>
                <w:rFonts w:ascii="Times New Roman" w:hAnsi="Times New Roman" w:eastAsia="楷体" w:cs="Times New Roman"/>
                <w:b/>
                <w:lang w:val="ru-RU" w:eastAsia="zh-CN"/>
              </w:rPr>
            </w:pPr>
            <w:r>
              <w:rPr>
                <w:rFonts w:ascii="Times New Roman" w:hAnsi="Times New Roman" w:eastAsia="楷体" w:cs="Times New Roman"/>
                <w:b/>
                <w:lang w:val="ru-RU" w:eastAsia="zh-CN"/>
              </w:rPr>
              <w:t xml:space="preserve">Номер договора: </w:t>
            </w:r>
            <w:r>
              <w:rPr>
                <w:rFonts w:hint="eastAsia" w:ascii="Times New Roman" w:hAnsi="Times New Roman" w:eastAsia="楷体" w:cs="Times New Roman"/>
                <w:b/>
                <w:color w:val="auto"/>
                <w:szCs w:val="24"/>
                <w:lang w:eastAsia="zh-CN"/>
              </w:rPr>
              <w:t>HDHT-AKTEPC-WZ-2026-02</w:t>
            </w:r>
          </w:p>
          <w:p>
            <w:pPr>
              <w:pStyle w:val="2"/>
              <w:ind w:left="0" w:leftChars="0" w:firstLine="0" w:firstLineChars="0"/>
              <w:rPr>
                <w:rFonts w:ascii="Times New Roman" w:hAnsi="Times New Roman" w:cs="Times New Roman"/>
                <w:lang w:val="ru-RU" w:eastAsia="zh-CN"/>
              </w:rPr>
            </w:pPr>
            <w:r>
              <w:rPr>
                <w:rFonts w:ascii="Times New Roman" w:hAnsi="Times New Roman" w:cs="Times New Roman"/>
                <w:lang w:val="ru-RU" w:eastAsia="zh-CN"/>
              </w:rPr>
              <w:t>«____»_________20___г.</w:t>
            </w:r>
          </w:p>
          <w:p>
            <w:pPr>
              <w:spacing w:before="120" w:after="120" w:line="240" w:lineRule="exact"/>
              <w:rPr>
                <w:rFonts w:ascii="楷体" w:hAnsi="楷体" w:eastAsia="楷体"/>
                <w:b/>
                <w:lang w:eastAsia="zh-CN"/>
              </w:rPr>
            </w:pPr>
            <w:r>
              <w:rPr>
                <w:rFonts w:ascii="Times New Roman" w:hAnsi="Times New Roman" w:eastAsia="楷体" w:cs="Times New Roman"/>
                <w:b/>
                <w:lang w:val="ru-RU" w:eastAsia="zh-CN"/>
              </w:rPr>
              <w:t>Прложение 1</w:t>
            </w:r>
            <w:r>
              <w:rPr>
                <w:rFonts w:hint="eastAsia" w:ascii="楷体" w:hAnsi="楷体" w:eastAsia="楷体"/>
                <w:b/>
                <w:lang w:eastAsia="zh-CN"/>
              </w:rPr>
              <w:t xml:space="preserve"> </w:t>
            </w:r>
          </w:p>
        </w:tc>
        <w:tc>
          <w:tcPr>
            <w:tcW w:w="6894" w:type="dxa"/>
          </w:tcPr>
          <w:p>
            <w:pPr>
              <w:spacing w:before="120" w:after="120" w:line="240" w:lineRule="exact"/>
              <w:ind w:firstLine="500"/>
              <w:jc w:val="right"/>
              <w:rPr>
                <w:rFonts w:ascii="楷体" w:hAnsi="楷体" w:eastAsia="楷体"/>
                <w:b/>
                <w:color w:val="auto"/>
                <w:lang w:val="ru-RU" w:eastAsia="zh-CN"/>
              </w:rPr>
            </w:pPr>
            <w:r>
              <w:rPr>
                <w:rFonts w:hint="eastAsia" w:ascii="Times New Roman" w:hAnsi="Times New Roman" w:eastAsia="楷体" w:cs="Times New Roman"/>
                <w:b/>
                <w:color w:val="auto"/>
                <w:szCs w:val="24"/>
                <w:lang w:eastAsia="zh-CN"/>
              </w:rPr>
              <w:t>阿克套燃机项目</w:t>
            </w:r>
            <w:r>
              <w:rPr>
                <w:rFonts w:hint="eastAsia" w:ascii="Times New Roman" w:hAnsi="Times New Roman" w:eastAsia="楷体" w:cs="Times New Roman"/>
                <w:b/>
                <w:color w:val="auto"/>
                <w:szCs w:val="24"/>
                <w:lang w:val="en-US" w:eastAsia="zh-CN"/>
              </w:rPr>
              <w:t>办公楼</w:t>
            </w:r>
            <w:r>
              <w:rPr>
                <w:rFonts w:hint="eastAsia" w:ascii="Times New Roman" w:hAnsi="Times New Roman" w:eastAsia="楷体" w:cs="Times New Roman"/>
                <w:b/>
                <w:color w:val="auto"/>
                <w:szCs w:val="24"/>
                <w:lang w:eastAsia="zh-CN"/>
              </w:rPr>
              <w:t>电梯采购合同</w:t>
            </w:r>
            <w:r>
              <w:rPr>
                <w:rFonts w:hint="eastAsia" w:ascii="楷体" w:hAnsi="楷体" w:eastAsia="楷体"/>
                <w:b/>
                <w:color w:val="auto"/>
                <w:lang w:val="ru-RU" w:eastAsia="zh-CN"/>
              </w:rPr>
              <w:t xml:space="preserve">  </w:t>
            </w:r>
          </w:p>
          <w:p>
            <w:pPr>
              <w:spacing w:before="120" w:after="120" w:line="240" w:lineRule="exact"/>
              <w:ind w:firstLine="500"/>
              <w:jc w:val="right"/>
              <w:rPr>
                <w:rFonts w:ascii="楷体" w:hAnsi="楷体" w:eastAsia="楷体"/>
                <w:b/>
                <w:color w:val="auto"/>
                <w:lang w:val="ru-RU" w:eastAsia="zh-CN"/>
              </w:rPr>
            </w:pPr>
            <w:r>
              <w:rPr>
                <w:rFonts w:hint="eastAsia" w:ascii="楷体" w:hAnsi="楷体" w:eastAsia="楷体"/>
                <w:b/>
                <w:color w:val="auto"/>
                <w:lang w:eastAsia="zh-CN"/>
              </w:rPr>
              <w:t>合同编号</w:t>
            </w:r>
            <w:r>
              <w:rPr>
                <w:rFonts w:hint="eastAsia" w:ascii="楷体" w:hAnsi="楷体" w:eastAsia="楷体"/>
                <w:b/>
                <w:color w:val="auto"/>
                <w:lang w:val="ru-RU" w:eastAsia="zh-CN"/>
              </w:rPr>
              <w:t>：</w:t>
            </w:r>
            <w:r>
              <w:rPr>
                <w:rFonts w:hint="eastAsia" w:ascii="Times New Roman" w:hAnsi="Times New Roman" w:eastAsia="楷体" w:cs="Times New Roman"/>
                <w:b/>
                <w:color w:val="auto"/>
                <w:szCs w:val="24"/>
                <w:lang w:eastAsia="zh-CN"/>
              </w:rPr>
              <w:t>HDHT-AKTEPC-WZ-2026-02</w:t>
            </w:r>
          </w:p>
          <w:p>
            <w:pPr>
              <w:spacing w:before="120" w:after="120" w:line="240" w:lineRule="exact"/>
              <w:ind w:firstLine="500"/>
              <w:jc w:val="right"/>
              <w:rPr>
                <w:rFonts w:ascii="楷体" w:hAnsi="楷体" w:eastAsia="楷体"/>
                <w:b/>
                <w:color w:val="auto"/>
                <w:lang w:eastAsia="zh-CN"/>
              </w:rPr>
            </w:pPr>
            <w:r>
              <w:rPr>
                <w:rFonts w:hint="eastAsia" w:ascii="楷体" w:hAnsi="楷体" w:eastAsia="楷体"/>
                <w:b/>
                <w:color w:val="auto"/>
                <w:lang w:eastAsia="zh-CN"/>
              </w:rPr>
              <w:t xml:space="preserve">***年***月***日  </w:t>
            </w:r>
          </w:p>
          <w:p>
            <w:pPr>
              <w:pStyle w:val="34"/>
              <w:spacing w:beforeAutospacing="1"/>
              <w:jc w:val="right"/>
              <w:rPr>
                <w:rFonts w:ascii="楷体" w:hAnsi="楷体" w:eastAsia="楷体"/>
                <w:b/>
                <w:lang w:eastAsia="zh-CN"/>
              </w:rPr>
            </w:pPr>
            <w:r>
              <w:rPr>
                <w:rFonts w:hint="eastAsia" w:ascii="楷体" w:hAnsi="楷体" w:eastAsia="楷体"/>
                <w:b/>
                <w:color w:val="auto"/>
                <w:lang w:eastAsia="zh-CN"/>
              </w:rPr>
              <w:t>附件1</w:t>
            </w:r>
            <w:r>
              <w:rPr>
                <w:color w:val="FF0000"/>
                <w:highlight w:val="cyan"/>
              </w:rPr>
              <w:t xml:space="preserve"> </w:t>
            </w:r>
          </w:p>
        </w:tc>
      </w:tr>
    </w:tbl>
    <w:p>
      <w:pPr>
        <w:spacing w:before="120" w:after="120" w:line="240" w:lineRule="exact"/>
        <w:ind w:firstLine="500"/>
        <w:jc w:val="right"/>
        <w:rPr>
          <w:rFonts w:ascii="楷体" w:hAnsi="楷体" w:eastAsia="楷体"/>
          <w:b/>
          <w:color w:val="EE0000"/>
          <w:lang w:val="ru-RU" w:eastAsia="zh-CN"/>
        </w:rPr>
      </w:pPr>
    </w:p>
    <w:tbl>
      <w:tblPr>
        <w:tblStyle w:val="37"/>
        <w:tblW w:w="4998" w:type="pct"/>
        <w:tblInd w:w="0" w:type="dxa"/>
        <w:tblLayout w:type="autofit"/>
        <w:tblCellMar>
          <w:top w:w="0" w:type="dxa"/>
          <w:left w:w="108" w:type="dxa"/>
          <w:bottom w:w="0" w:type="dxa"/>
          <w:right w:w="108" w:type="dxa"/>
        </w:tblCellMar>
      </w:tblPr>
      <w:tblGrid>
        <w:gridCol w:w="666"/>
        <w:gridCol w:w="1340"/>
        <w:gridCol w:w="3232"/>
        <w:gridCol w:w="1393"/>
        <w:gridCol w:w="976"/>
        <w:gridCol w:w="1931"/>
        <w:gridCol w:w="2228"/>
        <w:gridCol w:w="2016"/>
      </w:tblGrid>
      <w:tr>
        <w:tblPrEx>
          <w:tblCellMar>
            <w:top w:w="0" w:type="dxa"/>
            <w:left w:w="108" w:type="dxa"/>
            <w:bottom w:w="0" w:type="dxa"/>
            <w:right w:w="108" w:type="dxa"/>
          </w:tblCellMar>
        </w:tblPrEx>
        <w:trPr>
          <w:trHeight w:val="1401" w:hRule="atLeast"/>
        </w:trPr>
        <w:tc>
          <w:tcPr>
            <w:tcW w:w="242"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序号</w:t>
            </w:r>
            <w:r>
              <w:rPr>
                <w:rFonts w:ascii="Times New Roman" w:hAnsi="Times New Roman" w:eastAsia="宋体" w:cs="Times New Roman"/>
                <w:color w:val="000000"/>
                <w:sz w:val="18"/>
                <w:szCs w:val="18"/>
                <w:lang w:eastAsia="zh-CN" w:bidi="ar"/>
              </w:rPr>
              <w:br w:type="textWrapping"/>
            </w:r>
            <w:r>
              <w:rPr>
                <w:rFonts w:ascii="Times New Roman" w:hAnsi="Times New Roman" w:eastAsia="宋体" w:cs="Times New Roman"/>
                <w:color w:val="000000"/>
                <w:sz w:val="18"/>
                <w:szCs w:val="18"/>
                <w:lang w:eastAsia="zh-CN" w:bidi="ar"/>
              </w:rPr>
              <w:t>№</w:t>
            </w:r>
          </w:p>
        </w:tc>
        <w:tc>
          <w:tcPr>
            <w:tcW w:w="48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名称</w:t>
            </w:r>
            <w:r>
              <w:rPr>
                <w:rFonts w:ascii="Times New Roman" w:hAnsi="Times New Roman" w:eastAsia="宋体" w:cs="Times New Roman"/>
                <w:color w:val="000000"/>
                <w:sz w:val="18"/>
                <w:szCs w:val="18"/>
                <w:lang w:eastAsia="zh-CN" w:bidi="ar"/>
              </w:rPr>
              <w:br w:type="textWrapping"/>
            </w:r>
            <w:r>
              <w:rPr>
                <w:rFonts w:ascii="Times New Roman" w:hAnsi="Times New Roman" w:eastAsia="宋体" w:cs="Times New Roman"/>
                <w:color w:val="000000"/>
                <w:sz w:val="18"/>
                <w:szCs w:val="18"/>
                <w:lang w:eastAsia="zh-CN" w:bidi="ar"/>
              </w:rPr>
              <w:t>Наименование</w:t>
            </w:r>
          </w:p>
        </w:tc>
        <w:tc>
          <w:tcPr>
            <w:tcW w:w="1172"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内容</w:t>
            </w:r>
            <w:r>
              <w:rPr>
                <w:rStyle w:val="185"/>
                <w:rFonts w:eastAsia="宋体"/>
                <w:sz w:val="18"/>
                <w:szCs w:val="18"/>
                <w:lang w:eastAsia="zh-CN" w:bidi="ar"/>
              </w:rPr>
              <w:br w:type="textWrapping"/>
            </w:r>
            <w:r>
              <w:rPr>
                <w:rStyle w:val="185"/>
                <w:rFonts w:eastAsia="宋体"/>
                <w:sz w:val="18"/>
                <w:szCs w:val="18"/>
                <w:lang w:eastAsia="zh-CN" w:bidi="ar"/>
              </w:rPr>
              <w:t xml:space="preserve"> Содержание</w:t>
            </w:r>
          </w:p>
        </w:tc>
        <w:tc>
          <w:tcPr>
            <w:tcW w:w="50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单位</w:t>
            </w:r>
            <w:r>
              <w:rPr>
                <w:rFonts w:ascii="Times New Roman" w:hAnsi="Times New Roman" w:eastAsia="宋体" w:cs="Times New Roman"/>
                <w:color w:val="000000"/>
                <w:sz w:val="18"/>
                <w:szCs w:val="18"/>
                <w:lang w:eastAsia="zh-CN" w:bidi="ar"/>
              </w:rPr>
              <w:br w:type="textWrapping"/>
            </w:r>
            <w:r>
              <w:rPr>
                <w:rFonts w:ascii="Times New Roman" w:hAnsi="Times New Roman" w:eastAsia="宋体" w:cs="Times New Roman"/>
                <w:color w:val="000000"/>
                <w:sz w:val="18"/>
                <w:szCs w:val="18"/>
                <w:lang w:eastAsia="zh-CN" w:bidi="ar"/>
              </w:rPr>
              <w:t>Единица измерения</w:t>
            </w:r>
          </w:p>
        </w:tc>
        <w:tc>
          <w:tcPr>
            <w:tcW w:w="35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数量</w:t>
            </w:r>
            <w:r>
              <w:rPr>
                <w:rFonts w:ascii="Times New Roman" w:hAnsi="Times New Roman" w:eastAsia="宋体" w:cs="Times New Roman"/>
                <w:color w:val="000000"/>
                <w:sz w:val="18"/>
                <w:szCs w:val="18"/>
                <w:lang w:eastAsia="zh-CN" w:bidi="ar"/>
              </w:rPr>
              <w:br w:type="textWrapping"/>
            </w:r>
            <w:r>
              <w:rPr>
                <w:rFonts w:ascii="Times New Roman" w:hAnsi="Times New Roman" w:eastAsia="宋体" w:cs="Times New Roman"/>
                <w:color w:val="000000"/>
                <w:sz w:val="18"/>
                <w:szCs w:val="18"/>
                <w:lang w:eastAsia="zh-CN" w:bidi="ar"/>
              </w:rPr>
              <w:t>Кол.</w:t>
            </w:r>
          </w:p>
        </w:tc>
        <w:tc>
          <w:tcPr>
            <w:tcW w:w="700"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含增值税单价（坚戈）</w:t>
            </w:r>
            <w:r>
              <w:rPr>
                <w:rStyle w:val="185"/>
                <w:rFonts w:eastAsia="宋体"/>
                <w:sz w:val="18"/>
                <w:szCs w:val="18"/>
                <w:lang w:eastAsia="zh-CN" w:bidi="ar"/>
              </w:rPr>
              <w:br w:type="textWrapping"/>
            </w:r>
            <w:r>
              <w:rPr>
                <w:rStyle w:val="185"/>
                <w:rFonts w:eastAsia="宋体"/>
                <w:sz w:val="18"/>
                <w:szCs w:val="18"/>
                <w:lang w:eastAsia="zh-CN" w:bidi="ar"/>
              </w:rPr>
              <w:t>Цена за единицу, включая налог на добавленную стоимость</w:t>
            </w:r>
          </w:p>
        </w:tc>
        <w:tc>
          <w:tcPr>
            <w:tcW w:w="808"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含增值税总价（坚戈）</w:t>
            </w:r>
            <w:r>
              <w:rPr>
                <w:rStyle w:val="185"/>
                <w:rFonts w:eastAsia="宋体"/>
                <w:sz w:val="18"/>
                <w:szCs w:val="18"/>
                <w:lang w:eastAsia="zh-CN" w:bidi="ar"/>
              </w:rPr>
              <w:br w:type="textWrapping"/>
            </w:r>
            <w:r>
              <w:rPr>
                <w:rStyle w:val="185"/>
                <w:rFonts w:eastAsia="宋体"/>
                <w:sz w:val="18"/>
                <w:szCs w:val="18"/>
                <w:lang w:eastAsia="zh-CN" w:bidi="ar"/>
              </w:rPr>
              <w:t>Комбинированная цена, включая налог на добавленную стоимость</w:t>
            </w:r>
          </w:p>
        </w:tc>
        <w:tc>
          <w:tcPr>
            <w:tcW w:w="731"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color w:val="000000"/>
                <w:sz w:val="18"/>
                <w:szCs w:val="18"/>
              </w:rPr>
            </w:pPr>
            <w:r>
              <w:rPr>
                <w:rFonts w:ascii="Times New Roman" w:hAnsi="Times New Roman" w:eastAsia="宋体" w:cs="Times New Roman"/>
                <w:color w:val="000000"/>
                <w:sz w:val="18"/>
                <w:szCs w:val="18"/>
                <w:lang w:eastAsia="zh-CN" w:bidi="ar"/>
              </w:rPr>
              <w:t>备注</w:t>
            </w:r>
            <w:r>
              <w:rPr>
                <w:rFonts w:ascii="Times New Roman" w:hAnsi="Times New Roman" w:eastAsia="宋体" w:cs="Times New Roman"/>
                <w:color w:val="000000"/>
                <w:sz w:val="18"/>
                <w:szCs w:val="18"/>
                <w:lang w:eastAsia="zh-CN" w:bidi="ar"/>
              </w:rPr>
              <w:br w:type="textWrapping"/>
            </w:r>
            <w:r>
              <w:rPr>
                <w:rFonts w:ascii="Times New Roman" w:hAnsi="Times New Roman" w:eastAsia="宋体" w:cs="Times New Roman"/>
                <w:color w:val="000000"/>
                <w:sz w:val="18"/>
                <w:szCs w:val="18"/>
                <w:lang w:eastAsia="zh-CN" w:bidi="ar"/>
              </w:rPr>
              <w:t>Примечание</w:t>
            </w:r>
          </w:p>
        </w:tc>
      </w:tr>
      <w:tr>
        <w:tblPrEx>
          <w:tblCellMar>
            <w:top w:w="0" w:type="dxa"/>
            <w:left w:w="108" w:type="dxa"/>
            <w:bottom w:w="0" w:type="dxa"/>
            <w:right w:w="108" w:type="dxa"/>
          </w:tblCellMar>
        </w:tblPrEx>
        <w:trPr>
          <w:trHeight w:val="1668" w:hRule="atLeast"/>
        </w:trPr>
        <w:tc>
          <w:tcPr>
            <w:tcW w:w="242" w:type="pct"/>
            <w:tcBorders>
              <w:top w:val="single" w:color="000000" w:sz="4" w:space="0"/>
              <w:left w:val="single" w:color="000000" w:sz="4" w:space="0"/>
              <w:bottom w:val="nil"/>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1</w:t>
            </w:r>
          </w:p>
        </w:tc>
        <w:tc>
          <w:tcPr>
            <w:tcW w:w="48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电梯</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Лифт</w:t>
            </w:r>
          </w:p>
        </w:tc>
        <w:tc>
          <w:tcPr>
            <w:tcW w:w="1172" w:type="pct"/>
            <w:tcBorders>
              <w:top w:val="single" w:color="000000" w:sz="4" w:space="0"/>
              <w:left w:val="single" w:color="000000" w:sz="4" w:space="0"/>
              <w:bottom w:val="single" w:color="000000" w:sz="4" w:space="0"/>
              <w:right w:val="single" w:color="000000" w:sz="4" w:space="0"/>
            </w:tcBorders>
            <w:vAlign w:val="center"/>
          </w:tcPr>
          <w:p>
            <w:pPr>
              <w:textAlignment w:val="center"/>
              <w:rPr>
                <w:rFonts w:ascii="Times New Roman" w:hAnsi="Times New Roman" w:eastAsia="宋体" w:cs="Times New Roman"/>
                <w:sz w:val="18"/>
                <w:szCs w:val="18"/>
                <w:lang w:val="ru-RU"/>
              </w:rPr>
            </w:pPr>
            <w:r>
              <w:rPr>
                <w:rFonts w:ascii="Times New Roman" w:hAnsi="Times New Roman" w:eastAsia="宋体" w:cs="Times New Roman"/>
                <w:sz w:val="18"/>
                <w:szCs w:val="18"/>
                <w:lang w:eastAsia="zh-CN" w:bidi="ar"/>
              </w:rPr>
              <w:t>额定容量:1000kg，人数13人,额定速度:1.5m/s。</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val="ru-RU" w:eastAsia="zh-CN" w:bidi="ar"/>
              </w:rPr>
              <w:t>Номинальная грузоподъёмность: 1000 кг, вместимость: 13 человек, номинальная скорость: 1,5 м/с.</w:t>
            </w:r>
          </w:p>
        </w:tc>
        <w:tc>
          <w:tcPr>
            <w:tcW w:w="505"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Microsoft YaHei UI" w:cs="Times New Roman"/>
                <w:sz w:val="18"/>
                <w:szCs w:val="18"/>
              </w:rPr>
            </w:pPr>
            <w:r>
              <w:rPr>
                <w:rStyle w:val="186"/>
                <w:rFonts w:hint="default" w:ascii="Times New Roman" w:hAnsi="Times New Roman" w:cs="Times New Roman"/>
                <w:color w:val="auto"/>
                <w:sz w:val="18"/>
                <w:szCs w:val="18"/>
                <w:lang w:eastAsia="zh-CN" w:bidi="ar"/>
              </w:rPr>
              <w:t>台</w:t>
            </w:r>
            <w:r>
              <w:rPr>
                <w:rStyle w:val="186"/>
                <w:rFonts w:hint="default" w:ascii="Times New Roman" w:hAnsi="Times New Roman" w:cs="Times New Roman"/>
                <w:color w:val="auto"/>
                <w:sz w:val="18"/>
                <w:szCs w:val="18"/>
                <w:lang w:eastAsia="zh-CN" w:bidi="ar"/>
              </w:rPr>
              <w:br w:type="textWrapping"/>
            </w:r>
            <w:r>
              <w:rPr>
                <w:rStyle w:val="187"/>
                <w:rFonts w:eastAsia="Microsoft YaHei UI"/>
                <w:color w:val="auto"/>
                <w:sz w:val="18"/>
                <w:szCs w:val="18"/>
                <w:lang w:eastAsia="zh-CN" w:bidi="ar"/>
              </w:rPr>
              <w:t>шт.</w:t>
            </w:r>
          </w:p>
        </w:tc>
        <w:tc>
          <w:tcPr>
            <w:tcW w:w="354" w:type="pct"/>
            <w:tcBorders>
              <w:top w:val="single" w:color="000000" w:sz="4" w:space="0"/>
              <w:left w:val="single" w:color="000000" w:sz="4" w:space="0"/>
              <w:bottom w:val="single" w:color="000000" w:sz="4" w:space="0"/>
              <w:right w:val="single" w:color="000000" w:sz="4" w:space="0"/>
            </w:tcBorders>
            <w:vAlign w:val="center"/>
          </w:tcPr>
          <w:p>
            <w:pPr>
              <w:jc w:val="center"/>
              <w:textAlignment w:val="center"/>
              <w:rPr>
                <w:rFonts w:ascii="Times New Roman" w:hAnsi="Times New Roman" w:eastAsia="FangSong_GB2312" w:cs="Times New Roman"/>
                <w:sz w:val="18"/>
                <w:szCs w:val="18"/>
              </w:rPr>
            </w:pPr>
            <w:r>
              <w:rPr>
                <w:rFonts w:ascii="Times New Roman" w:hAnsi="Times New Roman" w:eastAsia="FangSong_GB2312" w:cs="Times New Roman"/>
                <w:sz w:val="18"/>
                <w:szCs w:val="18"/>
                <w:lang w:eastAsia="zh-CN" w:bidi="ar"/>
              </w:rPr>
              <w:t>1</w:t>
            </w:r>
          </w:p>
        </w:tc>
        <w:tc>
          <w:tcPr>
            <w:tcW w:w="700" w:type="pct"/>
            <w:tcBorders>
              <w:top w:val="single" w:color="000000" w:sz="4" w:space="0"/>
              <w:left w:val="single" w:color="000000" w:sz="4" w:space="0"/>
              <w:bottom w:val="nil"/>
              <w:right w:val="single" w:color="000000" w:sz="4" w:space="0"/>
            </w:tcBorders>
            <w:shd w:val="clear" w:color="auto" w:fill="FFFFFF"/>
            <w:vAlign w:val="center"/>
          </w:tcPr>
          <w:p>
            <w:pPr>
              <w:jc w:val="center"/>
              <w:rPr>
                <w:rFonts w:ascii="Times New Roman" w:hAnsi="Times New Roman" w:eastAsia="宋体" w:cs="Times New Roman"/>
                <w:sz w:val="18"/>
                <w:szCs w:val="18"/>
              </w:rPr>
            </w:pPr>
          </w:p>
        </w:tc>
        <w:tc>
          <w:tcPr>
            <w:tcW w:w="808" w:type="pct"/>
            <w:tcBorders>
              <w:top w:val="single" w:color="000000" w:sz="4" w:space="0"/>
              <w:left w:val="single" w:color="000000" w:sz="4" w:space="0"/>
              <w:bottom w:val="nil"/>
              <w:right w:val="single" w:color="000000" w:sz="4" w:space="0"/>
            </w:tcBorders>
            <w:shd w:val="clear" w:color="auto" w:fill="FFFFFF"/>
            <w:vAlign w:val="center"/>
          </w:tcPr>
          <w:p>
            <w:pPr>
              <w:jc w:val="center"/>
              <w:rPr>
                <w:rFonts w:ascii="Times New Roman" w:hAnsi="Times New Roman" w:eastAsia="宋体" w:cs="Times New Roman"/>
                <w:sz w:val="18"/>
                <w:szCs w:val="18"/>
              </w:rPr>
            </w:pPr>
          </w:p>
        </w:tc>
        <w:tc>
          <w:tcPr>
            <w:tcW w:w="731" w:type="pct"/>
            <w:tcBorders>
              <w:top w:val="single" w:color="000000" w:sz="4" w:space="0"/>
              <w:left w:val="single" w:color="000000" w:sz="4" w:space="0"/>
              <w:bottom w:val="single" w:color="000000" w:sz="4" w:space="0"/>
              <w:right w:val="single" w:color="000000" w:sz="4" w:space="0"/>
            </w:tcBorders>
            <w:shd w:val="clear" w:color="auto" w:fill="FFFFFF"/>
            <w:vAlign w:val="center"/>
          </w:tcPr>
          <w:p>
            <w:pPr>
              <w:rPr>
                <w:rFonts w:ascii="Times New Roman" w:hAnsi="Times New Roman" w:eastAsia="楷体" w:cs="Times New Roman"/>
                <w:sz w:val="18"/>
                <w:szCs w:val="18"/>
              </w:rPr>
            </w:pPr>
          </w:p>
        </w:tc>
      </w:tr>
      <w:tr>
        <w:tblPrEx>
          <w:tblCellMar>
            <w:top w:w="0" w:type="dxa"/>
            <w:left w:w="108" w:type="dxa"/>
            <w:bottom w:w="0" w:type="dxa"/>
            <w:right w:w="108" w:type="dxa"/>
          </w:tblCellMar>
        </w:tblPrEx>
        <w:trPr>
          <w:trHeight w:val="1161" w:hRule="atLeast"/>
        </w:trPr>
        <w:tc>
          <w:tcPr>
            <w:tcW w:w="242" w:type="pct"/>
            <w:tcBorders>
              <w:top w:val="single" w:color="000000"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2</w:t>
            </w:r>
          </w:p>
        </w:tc>
        <w:tc>
          <w:tcPr>
            <w:tcW w:w="485" w:type="pct"/>
            <w:tcBorders>
              <w:top w:val="single" w:color="000000"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安装调试</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монтаж и наладка</w:t>
            </w:r>
          </w:p>
        </w:tc>
        <w:tc>
          <w:tcPr>
            <w:tcW w:w="1172" w:type="pct"/>
            <w:tcBorders>
              <w:top w:val="single" w:color="000000"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w:t>
            </w:r>
          </w:p>
        </w:tc>
        <w:tc>
          <w:tcPr>
            <w:tcW w:w="505" w:type="pct"/>
            <w:tcBorders>
              <w:top w:val="single" w:color="000000"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Microsoft YaHei UI" w:cs="Times New Roman"/>
                <w:sz w:val="18"/>
                <w:szCs w:val="18"/>
              </w:rPr>
            </w:pPr>
            <w:r>
              <w:rPr>
                <w:rFonts w:ascii="Times New Roman" w:hAnsi="Times New Roman" w:eastAsia="Microsoft YaHei UI" w:cs="Times New Roman"/>
                <w:sz w:val="18"/>
                <w:szCs w:val="18"/>
                <w:lang w:eastAsia="zh-CN" w:bidi="ar"/>
              </w:rPr>
              <w:t>项</w:t>
            </w:r>
            <w:r>
              <w:rPr>
                <w:rFonts w:ascii="Times New Roman" w:hAnsi="Times New Roman" w:eastAsia="Microsoft YaHei UI" w:cs="Times New Roman"/>
                <w:sz w:val="18"/>
                <w:szCs w:val="18"/>
                <w:lang w:eastAsia="zh-CN" w:bidi="ar"/>
              </w:rPr>
              <w:br w:type="textWrapping"/>
            </w:r>
            <w:r>
              <w:rPr>
                <w:rFonts w:ascii="Times New Roman" w:hAnsi="Times New Roman" w:eastAsia="Microsoft YaHei UI" w:cs="Times New Roman"/>
                <w:sz w:val="18"/>
                <w:szCs w:val="18"/>
                <w:lang w:eastAsia="zh-CN" w:bidi="ar"/>
              </w:rPr>
              <w:t>усл</w:t>
            </w:r>
          </w:p>
        </w:tc>
        <w:tc>
          <w:tcPr>
            <w:tcW w:w="354" w:type="pct"/>
            <w:tcBorders>
              <w:top w:val="single" w:color="000000"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FangSong_GB2312" w:cs="Times New Roman"/>
                <w:sz w:val="18"/>
                <w:szCs w:val="18"/>
              </w:rPr>
            </w:pPr>
            <w:r>
              <w:rPr>
                <w:rFonts w:ascii="Times New Roman" w:hAnsi="Times New Roman" w:eastAsia="FangSong_GB2312" w:cs="Times New Roman"/>
                <w:sz w:val="18"/>
                <w:szCs w:val="18"/>
                <w:lang w:eastAsia="zh-CN" w:bidi="ar"/>
              </w:rPr>
              <w:t>1</w:t>
            </w:r>
          </w:p>
        </w:tc>
        <w:tc>
          <w:tcPr>
            <w:tcW w:w="700" w:type="pct"/>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Times New Roman" w:hAnsi="Times New Roman" w:eastAsia="宋体" w:cs="Times New Roman"/>
                <w:sz w:val="18"/>
                <w:szCs w:val="18"/>
              </w:rPr>
            </w:pPr>
          </w:p>
        </w:tc>
        <w:tc>
          <w:tcPr>
            <w:tcW w:w="808" w:type="pct"/>
            <w:tcBorders>
              <w:top w:val="single" w:color="000000" w:sz="4" w:space="0"/>
              <w:left w:val="single" w:color="000000" w:sz="4" w:space="0"/>
              <w:bottom w:val="single" w:color="auto" w:sz="4" w:space="0"/>
              <w:right w:val="single" w:color="000000" w:sz="4" w:space="0"/>
            </w:tcBorders>
            <w:shd w:val="clear" w:color="auto" w:fill="FFFFFF"/>
            <w:vAlign w:val="center"/>
          </w:tcPr>
          <w:p>
            <w:pPr>
              <w:jc w:val="center"/>
              <w:rPr>
                <w:rFonts w:ascii="Times New Roman" w:hAnsi="Times New Roman" w:eastAsia="宋体" w:cs="Times New Roman"/>
                <w:sz w:val="18"/>
                <w:szCs w:val="18"/>
              </w:rPr>
            </w:pPr>
          </w:p>
        </w:tc>
        <w:tc>
          <w:tcPr>
            <w:tcW w:w="731" w:type="pct"/>
            <w:tcBorders>
              <w:top w:val="single" w:color="000000" w:sz="4" w:space="0"/>
              <w:left w:val="single" w:color="000000" w:sz="4" w:space="0"/>
              <w:bottom w:val="single" w:color="auto" w:sz="4" w:space="0"/>
              <w:right w:val="single" w:color="000000" w:sz="4" w:space="0"/>
            </w:tcBorders>
            <w:shd w:val="clear" w:color="auto" w:fill="FFFFFF"/>
            <w:vAlign w:val="center"/>
          </w:tcPr>
          <w:p>
            <w:pPr>
              <w:rPr>
                <w:rFonts w:ascii="Times New Roman" w:hAnsi="Times New Roman" w:eastAsia="楷体" w:cs="Times New Roman"/>
                <w:sz w:val="18"/>
                <w:szCs w:val="18"/>
              </w:rPr>
            </w:pPr>
          </w:p>
        </w:tc>
      </w:tr>
      <w:tr>
        <w:tblPrEx>
          <w:tblCellMar>
            <w:top w:w="0" w:type="dxa"/>
            <w:left w:w="108" w:type="dxa"/>
            <w:bottom w:w="0" w:type="dxa"/>
            <w:right w:w="108" w:type="dxa"/>
          </w:tblCellMar>
        </w:tblPrEx>
        <w:trPr>
          <w:trHeight w:val="2070" w:hRule="atLeast"/>
        </w:trPr>
        <w:tc>
          <w:tcPr>
            <w:tcW w:w="242"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3</w:t>
            </w:r>
          </w:p>
        </w:tc>
        <w:tc>
          <w:tcPr>
            <w:tcW w:w="485"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当地政府部门备案取证</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Регистрация и получение разрешений в местных органах власти</w:t>
            </w:r>
          </w:p>
        </w:tc>
        <w:tc>
          <w:tcPr>
            <w:tcW w:w="1172"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w:t>
            </w:r>
          </w:p>
        </w:tc>
        <w:tc>
          <w:tcPr>
            <w:tcW w:w="505"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Microsoft YaHei UI" w:cs="Times New Roman"/>
                <w:sz w:val="18"/>
                <w:szCs w:val="18"/>
              </w:rPr>
            </w:pPr>
            <w:r>
              <w:rPr>
                <w:rFonts w:ascii="Times New Roman" w:hAnsi="Times New Roman" w:eastAsia="Microsoft YaHei UI" w:cs="Times New Roman"/>
                <w:sz w:val="18"/>
                <w:szCs w:val="18"/>
                <w:lang w:eastAsia="zh-CN" w:bidi="ar"/>
              </w:rPr>
              <w:t>项</w:t>
            </w:r>
            <w:r>
              <w:rPr>
                <w:rFonts w:ascii="Times New Roman" w:hAnsi="Times New Roman" w:eastAsia="Microsoft YaHei UI" w:cs="Times New Roman"/>
                <w:sz w:val="18"/>
                <w:szCs w:val="18"/>
                <w:lang w:eastAsia="zh-CN" w:bidi="ar"/>
              </w:rPr>
              <w:br w:type="textWrapping"/>
            </w:r>
            <w:r>
              <w:rPr>
                <w:rFonts w:ascii="Times New Roman" w:hAnsi="Times New Roman" w:eastAsia="Microsoft YaHei UI" w:cs="Times New Roman"/>
                <w:sz w:val="18"/>
                <w:szCs w:val="18"/>
                <w:lang w:eastAsia="zh-CN" w:bidi="ar"/>
              </w:rPr>
              <w:t>усл</w:t>
            </w:r>
          </w:p>
        </w:tc>
        <w:tc>
          <w:tcPr>
            <w:tcW w:w="35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FangSong_GB2312" w:cs="Times New Roman"/>
                <w:sz w:val="18"/>
                <w:szCs w:val="18"/>
              </w:rPr>
            </w:pPr>
            <w:r>
              <w:rPr>
                <w:rFonts w:ascii="Times New Roman" w:hAnsi="Times New Roman" w:eastAsia="FangSong_GB2312" w:cs="Times New Roman"/>
                <w:sz w:val="18"/>
                <w:szCs w:val="18"/>
                <w:lang w:eastAsia="zh-CN" w:bidi="ar"/>
              </w:rPr>
              <w:t>1</w:t>
            </w:r>
          </w:p>
        </w:tc>
        <w:tc>
          <w:tcPr>
            <w:tcW w:w="700" w:type="pc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Times New Roman" w:hAnsi="Times New Roman" w:eastAsia="宋体" w:cs="Times New Roman"/>
                <w:sz w:val="18"/>
                <w:szCs w:val="18"/>
              </w:rPr>
            </w:pPr>
          </w:p>
        </w:tc>
        <w:tc>
          <w:tcPr>
            <w:tcW w:w="808" w:type="pc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Times New Roman" w:hAnsi="Times New Roman" w:eastAsia="宋体" w:cs="Times New Roman"/>
                <w:sz w:val="18"/>
                <w:szCs w:val="18"/>
              </w:rPr>
            </w:pPr>
          </w:p>
        </w:tc>
        <w:tc>
          <w:tcPr>
            <w:tcW w:w="731" w:type="pct"/>
            <w:tcBorders>
              <w:top w:val="single" w:color="auto" w:sz="4" w:space="0"/>
              <w:left w:val="single" w:color="auto" w:sz="4" w:space="0"/>
              <w:bottom w:val="single" w:color="auto" w:sz="4" w:space="0"/>
              <w:right w:val="single" w:color="auto" w:sz="4" w:space="0"/>
            </w:tcBorders>
            <w:shd w:val="clear" w:color="auto" w:fill="FFFFFF"/>
            <w:vAlign w:val="center"/>
          </w:tcPr>
          <w:p>
            <w:pPr>
              <w:rPr>
                <w:rFonts w:ascii="Times New Roman" w:hAnsi="Times New Roman" w:eastAsia="楷体" w:cs="Times New Roman"/>
                <w:sz w:val="18"/>
                <w:szCs w:val="18"/>
              </w:rPr>
            </w:pPr>
          </w:p>
        </w:tc>
      </w:tr>
      <w:tr>
        <w:tblPrEx>
          <w:tblCellMar>
            <w:top w:w="0" w:type="dxa"/>
            <w:left w:w="108" w:type="dxa"/>
            <w:bottom w:w="0" w:type="dxa"/>
            <w:right w:w="108" w:type="dxa"/>
          </w:tblCellMar>
        </w:tblPrEx>
        <w:trPr>
          <w:trHeight w:val="3432" w:hRule="atLeast"/>
        </w:trPr>
        <w:tc>
          <w:tcPr>
            <w:tcW w:w="242" w:type="pct"/>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4</w:t>
            </w:r>
          </w:p>
        </w:tc>
        <w:tc>
          <w:tcPr>
            <w:tcW w:w="485" w:type="pct"/>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一年维护保养</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Годовое техническое обслуживание</w:t>
            </w:r>
          </w:p>
        </w:tc>
        <w:tc>
          <w:tcPr>
            <w:tcW w:w="1172" w:type="pct"/>
            <w:tcBorders>
              <w:top w:val="single" w:color="auto" w:sz="4" w:space="0"/>
              <w:left w:val="single" w:color="000000" w:sz="4" w:space="0"/>
              <w:bottom w:val="single" w:color="auto" w:sz="4" w:space="0"/>
              <w:right w:val="single" w:color="000000" w:sz="4" w:space="0"/>
            </w:tcBorders>
            <w:vAlign w:val="center"/>
          </w:tcPr>
          <w:p>
            <w:pPr>
              <w:textAlignment w:val="center"/>
              <w:rPr>
                <w:rFonts w:ascii="Times New Roman" w:hAnsi="Times New Roman" w:eastAsia="宋体" w:cs="Times New Roman"/>
                <w:sz w:val="18"/>
                <w:szCs w:val="18"/>
                <w:lang w:val="ru-RU"/>
              </w:rPr>
            </w:pPr>
            <w:r>
              <w:rPr>
                <w:rFonts w:ascii="Times New Roman" w:hAnsi="Times New Roman" w:eastAsia="宋体" w:cs="Times New Roman"/>
                <w:sz w:val="18"/>
                <w:szCs w:val="18"/>
                <w:lang w:eastAsia="zh-CN" w:bidi="ar"/>
              </w:rPr>
              <w:t>电梯安装调试完毕且通过验收后，进行一年维护保养（每月定期维护1次，并及时进行故障处理）。</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val="ru-RU" w:eastAsia="zh-CN" w:bidi="ar"/>
              </w:rPr>
              <w:t>После завершения монтажа и наладки лифта и его успешной приемки проводится годовое техническое обслуживание (периодическое обслуживание 1 раз в месяц с оперативным устранением неисправностей).</w:t>
            </w:r>
          </w:p>
        </w:tc>
        <w:tc>
          <w:tcPr>
            <w:tcW w:w="505" w:type="pct"/>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Microsoft YaHei UI" w:cs="Times New Roman"/>
                <w:sz w:val="18"/>
                <w:szCs w:val="18"/>
              </w:rPr>
            </w:pPr>
            <w:r>
              <w:rPr>
                <w:rFonts w:ascii="Times New Roman" w:hAnsi="Times New Roman" w:eastAsia="Microsoft YaHei UI" w:cs="Times New Roman"/>
                <w:sz w:val="18"/>
                <w:szCs w:val="18"/>
                <w:lang w:eastAsia="zh-CN" w:bidi="ar"/>
              </w:rPr>
              <w:t>项</w:t>
            </w:r>
            <w:r>
              <w:rPr>
                <w:rFonts w:ascii="Times New Roman" w:hAnsi="Times New Roman" w:eastAsia="Microsoft YaHei UI" w:cs="Times New Roman"/>
                <w:sz w:val="18"/>
                <w:szCs w:val="18"/>
                <w:lang w:eastAsia="zh-CN" w:bidi="ar"/>
              </w:rPr>
              <w:br w:type="textWrapping"/>
            </w:r>
            <w:r>
              <w:rPr>
                <w:rFonts w:ascii="Times New Roman" w:hAnsi="Times New Roman" w:eastAsia="Microsoft YaHei UI" w:cs="Times New Roman"/>
                <w:sz w:val="18"/>
                <w:szCs w:val="18"/>
                <w:lang w:eastAsia="zh-CN" w:bidi="ar"/>
              </w:rPr>
              <w:t>усл</w:t>
            </w:r>
          </w:p>
        </w:tc>
        <w:tc>
          <w:tcPr>
            <w:tcW w:w="354" w:type="pct"/>
            <w:tcBorders>
              <w:top w:val="single" w:color="auto" w:sz="4" w:space="0"/>
              <w:left w:val="single" w:color="000000" w:sz="4" w:space="0"/>
              <w:bottom w:val="single" w:color="auto" w:sz="4" w:space="0"/>
              <w:right w:val="single" w:color="000000" w:sz="4" w:space="0"/>
            </w:tcBorders>
            <w:vAlign w:val="center"/>
          </w:tcPr>
          <w:p>
            <w:pPr>
              <w:jc w:val="center"/>
              <w:textAlignment w:val="center"/>
              <w:rPr>
                <w:rFonts w:ascii="Times New Roman" w:hAnsi="Times New Roman" w:eastAsia="FangSong_GB2312" w:cs="Times New Roman"/>
                <w:sz w:val="18"/>
                <w:szCs w:val="18"/>
              </w:rPr>
            </w:pPr>
            <w:r>
              <w:rPr>
                <w:rFonts w:ascii="Times New Roman" w:hAnsi="Times New Roman" w:eastAsia="FangSong_GB2312" w:cs="Times New Roman"/>
                <w:sz w:val="18"/>
                <w:szCs w:val="18"/>
                <w:lang w:eastAsia="zh-CN" w:bidi="ar"/>
              </w:rPr>
              <w:t>1</w:t>
            </w:r>
          </w:p>
        </w:tc>
        <w:tc>
          <w:tcPr>
            <w:tcW w:w="700" w:type="pct"/>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Times New Roman" w:hAnsi="Times New Roman" w:eastAsia="宋体" w:cs="Times New Roman"/>
                <w:sz w:val="18"/>
                <w:szCs w:val="18"/>
              </w:rPr>
            </w:pPr>
          </w:p>
        </w:tc>
        <w:tc>
          <w:tcPr>
            <w:tcW w:w="808" w:type="pct"/>
            <w:tcBorders>
              <w:top w:val="single" w:color="auto" w:sz="4" w:space="0"/>
              <w:left w:val="single" w:color="000000" w:sz="4" w:space="0"/>
              <w:bottom w:val="single" w:color="auto" w:sz="4" w:space="0"/>
              <w:right w:val="single" w:color="000000" w:sz="4" w:space="0"/>
            </w:tcBorders>
            <w:shd w:val="clear" w:color="auto" w:fill="FFFFFF"/>
            <w:vAlign w:val="center"/>
          </w:tcPr>
          <w:p>
            <w:pPr>
              <w:jc w:val="center"/>
              <w:rPr>
                <w:rFonts w:ascii="Times New Roman" w:hAnsi="Times New Roman" w:eastAsia="宋体" w:cs="Times New Roman"/>
                <w:sz w:val="18"/>
                <w:szCs w:val="18"/>
              </w:rPr>
            </w:pPr>
          </w:p>
        </w:tc>
        <w:tc>
          <w:tcPr>
            <w:tcW w:w="731" w:type="pct"/>
            <w:tcBorders>
              <w:top w:val="single" w:color="auto" w:sz="4" w:space="0"/>
              <w:left w:val="single" w:color="000000" w:sz="4" w:space="0"/>
              <w:bottom w:val="single" w:color="auto" w:sz="4" w:space="0"/>
              <w:right w:val="single" w:color="000000" w:sz="4" w:space="0"/>
            </w:tcBorders>
            <w:shd w:val="clear" w:color="auto" w:fill="FFFFFF"/>
            <w:vAlign w:val="center"/>
          </w:tcPr>
          <w:p>
            <w:pP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包含电梯维护保养消耗材料及故障处理更换配件费用</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Включает расходные материалы для обслуживания лифта и расходы на устранение неисправностей и замену комплектующих.</w:t>
            </w:r>
          </w:p>
        </w:tc>
      </w:tr>
      <w:tr>
        <w:tblPrEx>
          <w:tblCellMar>
            <w:top w:w="0" w:type="dxa"/>
            <w:left w:w="108" w:type="dxa"/>
            <w:bottom w:w="0" w:type="dxa"/>
            <w:right w:w="108" w:type="dxa"/>
          </w:tblCellMar>
        </w:tblPrEx>
        <w:trPr>
          <w:trHeight w:val="2148" w:hRule="atLeast"/>
        </w:trPr>
        <w:tc>
          <w:tcPr>
            <w:tcW w:w="242"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5</w:t>
            </w:r>
          </w:p>
        </w:tc>
        <w:tc>
          <w:tcPr>
            <w:tcW w:w="485"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后期维护保养费用</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Расходы на последующее обслуживание</w:t>
            </w:r>
          </w:p>
        </w:tc>
        <w:tc>
          <w:tcPr>
            <w:tcW w:w="1172" w:type="pct"/>
            <w:tcBorders>
              <w:top w:val="single" w:color="auto" w:sz="4" w:space="0"/>
              <w:left w:val="single" w:color="auto" w:sz="4" w:space="0"/>
              <w:bottom w:val="single" w:color="auto" w:sz="4" w:space="0"/>
              <w:right w:val="single" w:color="auto" w:sz="4" w:space="0"/>
            </w:tcBorders>
            <w:vAlign w:val="center"/>
          </w:tcPr>
          <w:p>
            <w:pPr>
              <w:textAlignment w:val="center"/>
              <w:rPr>
                <w:rFonts w:ascii="Times New Roman" w:hAnsi="Times New Roman" w:eastAsia="宋体" w:cs="Times New Roman"/>
                <w:sz w:val="18"/>
                <w:szCs w:val="18"/>
              </w:rPr>
            </w:pPr>
            <w:r>
              <w:rPr>
                <w:rFonts w:ascii="Times New Roman" w:hAnsi="Times New Roman" w:eastAsia="宋体" w:cs="Times New Roman"/>
                <w:sz w:val="18"/>
                <w:szCs w:val="18"/>
                <w:lang w:eastAsia="zh-CN" w:bidi="ar"/>
              </w:rPr>
              <w:t>每月定期维护保养及消除故障（不含材料及更换配件费用）</w:t>
            </w:r>
            <w:r>
              <w:rPr>
                <w:rFonts w:ascii="Times New Roman" w:hAnsi="Times New Roman" w:eastAsia="宋体" w:cs="Times New Roman"/>
                <w:sz w:val="18"/>
                <w:szCs w:val="18"/>
                <w:lang w:eastAsia="zh-CN" w:bidi="ar"/>
              </w:rPr>
              <w:br w:type="textWrapping"/>
            </w:r>
            <w:r>
              <w:rPr>
                <w:rFonts w:ascii="Times New Roman" w:hAnsi="Times New Roman" w:eastAsia="宋体" w:cs="Times New Roman"/>
                <w:sz w:val="18"/>
                <w:szCs w:val="18"/>
                <w:lang w:eastAsia="zh-CN" w:bidi="ar"/>
              </w:rPr>
              <w:t>Периодическое ежемесячное обслуживание и устранение неисправностей (без учета стоимости материалов и замены комплектующих).</w:t>
            </w:r>
          </w:p>
        </w:tc>
        <w:tc>
          <w:tcPr>
            <w:tcW w:w="505"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Microsoft YaHei UI" w:cs="Times New Roman"/>
                <w:sz w:val="18"/>
                <w:szCs w:val="18"/>
              </w:rPr>
            </w:pPr>
            <w:r>
              <w:rPr>
                <w:rFonts w:ascii="Times New Roman" w:hAnsi="Times New Roman" w:eastAsia="Microsoft YaHei UI" w:cs="Times New Roman"/>
                <w:sz w:val="18"/>
                <w:szCs w:val="18"/>
                <w:lang w:eastAsia="zh-CN" w:bidi="ar"/>
              </w:rPr>
              <w:t>年</w:t>
            </w:r>
            <w:r>
              <w:rPr>
                <w:rFonts w:ascii="Times New Roman" w:hAnsi="Times New Roman" w:eastAsia="Microsoft YaHei UI" w:cs="Times New Roman"/>
                <w:sz w:val="18"/>
                <w:szCs w:val="18"/>
                <w:lang w:eastAsia="zh-CN" w:bidi="ar"/>
              </w:rPr>
              <w:br w:type="textWrapping"/>
            </w:r>
            <w:r>
              <w:rPr>
                <w:rFonts w:ascii="Times New Roman" w:hAnsi="Times New Roman" w:eastAsia="Microsoft YaHei UI" w:cs="Times New Roman"/>
                <w:sz w:val="18"/>
                <w:szCs w:val="18"/>
                <w:lang w:eastAsia="zh-CN" w:bidi="ar"/>
              </w:rPr>
              <w:t>год</w:t>
            </w:r>
          </w:p>
        </w:tc>
        <w:tc>
          <w:tcPr>
            <w:tcW w:w="354"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FangSong_GB2312" w:cs="Times New Roman"/>
                <w:sz w:val="18"/>
                <w:szCs w:val="18"/>
              </w:rPr>
            </w:pPr>
            <w:r>
              <w:rPr>
                <w:rFonts w:ascii="Times New Roman" w:hAnsi="Times New Roman" w:eastAsia="FangSong_GB2312" w:cs="Times New Roman"/>
                <w:sz w:val="18"/>
                <w:szCs w:val="18"/>
                <w:lang w:eastAsia="zh-CN" w:bidi="ar"/>
              </w:rPr>
              <w:t>3</w:t>
            </w:r>
          </w:p>
        </w:tc>
        <w:tc>
          <w:tcPr>
            <w:tcW w:w="700" w:type="pc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Times New Roman" w:hAnsi="Times New Roman" w:eastAsia="宋体" w:cs="Times New Roman"/>
                <w:sz w:val="18"/>
                <w:szCs w:val="18"/>
              </w:rPr>
            </w:pPr>
          </w:p>
        </w:tc>
        <w:tc>
          <w:tcPr>
            <w:tcW w:w="808" w:type="pct"/>
            <w:tcBorders>
              <w:top w:val="single" w:color="auto" w:sz="4" w:space="0"/>
              <w:left w:val="single" w:color="auto" w:sz="4" w:space="0"/>
              <w:bottom w:val="single" w:color="auto" w:sz="4" w:space="0"/>
              <w:right w:val="single" w:color="auto" w:sz="4" w:space="0"/>
            </w:tcBorders>
            <w:shd w:val="clear" w:color="auto" w:fill="FFFFFF"/>
            <w:vAlign w:val="center"/>
          </w:tcPr>
          <w:p>
            <w:pPr>
              <w:jc w:val="center"/>
              <w:rPr>
                <w:rFonts w:ascii="Times New Roman" w:hAnsi="Times New Roman" w:eastAsia="宋体" w:cs="Times New Roman"/>
                <w:sz w:val="18"/>
                <w:szCs w:val="18"/>
              </w:rPr>
            </w:pPr>
          </w:p>
        </w:tc>
        <w:tc>
          <w:tcPr>
            <w:tcW w:w="731" w:type="pct"/>
            <w:tcBorders>
              <w:top w:val="single" w:color="auto" w:sz="4" w:space="0"/>
              <w:left w:val="single" w:color="auto" w:sz="4" w:space="0"/>
              <w:bottom w:val="single" w:color="auto" w:sz="4" w:space="0"/>
              <w:right w:val="single" w:color="auto" w:sz="4" w:space="0"/>
            </w:tcBorders>
            <w:shd w:val="clear" w:color="auto" w:fill="FFFFFF"/>
            <w:vAlign w:val="center"/>
          </w:tcPr>
          <w:p>
            <w:pPr>
              <w:keepNext w:val="0"/>
              <w:keepLines w:val="0"/>
              <w:pageBreakBefore w:val="0"/>
              <w:widowControl/>
              <w:kinsoku/>
              <w:wordWrap/>
              <w:overflowPunct/>
              <w:topLinePunct w:val="0"/>
              <w:autoSpaceDE/>
              <w:autoSpaceDN/>
              <w:bidi w:val="0"/>
              <w:adjustRightInd w:val="0"/>
              <w:snapToGrid w:val="0"/>
              <w:spacing w:after="0" w:line="240" w:lineRule="auto"/>
              <w:textAlignment w:val="center"/>
              <w:rPr>
                <w:rFonts w:hint="default" w:ascii="Times New Roman" w:hAnsi="Times New Roman" w:eastAsia="宋体" w:cs="Times New Roman"/>
                <w:sz w:val="18"/>
                <w:szCs w:val="18"/>
                <w:lang w:eastAsia="zh-CN" w:bidi="ar"/>
              </w:rPr>
            </w:pPr>
            <w:r>
              <w:rPr>
                <w:rFonts w:hint="default" w:ascii="Times New Roman" w:hAnsi="Times New Roman" w:eastAsia="宋体" w:cs="Times New Roman"/>
                <w:sz w:val="18"/>
                <w:szCs w:val="18"/>
                <w:lang w:eastAsia="zh-CN" w:bidi="ar"/>
              </w:rPr>
              <w:t>本项不计入总价</w:t>
            </w:r>
          </w:p>
          <w:p>
            <w:pPr>
              <w:keepNext w:val="0"/>
              <w:keepLines w:val="0"/>
              <w:pageBreakBefore w:val="0"/>
              <w:widowControl/>
              <w:kinsoku/>
              <w:wordWrap/>
              <w:overflowPunct/>
              <w:topLinePunct w:val="0"/>
              <w:autoSpaceDE/>
              <w:autoSpaceDN/>
              <w:bidi w:val="0"/>
              <w:adjustRightInd w:val="0"/>
              <w:snapToGrid w:val="0"/>
              <w:spacing w:after="0" w:line="240" w:lineRule="auto"/>
              <w:textAlignment w:val="center"/>
            </w:pPr>
            <w:r>
              <w:rPr>
                <w:rFonts w:hint="default" w:ascii="Times New Roman" w:hAnsi="Times New Roman" w:eastAsia="宋体" w:cs="Times New Roman"/>
                <w:sz w:val="18"/>
                <w:szCs w:val="18"/>
                <w:lang w:eastAsia="zh-CN" w:bidi="ar"/>
              </w:rPr>
              <w:t>Этот пункт не входит в общую стоимость</w:t>
            </w:r>
          </w:p>
        </w:tc>
      </w:tr>
      <w:tr>
        <w:tblPrEx>
          <w:tblCellMar>
            <w:top w:w="0" w:type="dxa"/>
            <w:left w:w="108" w:type="dxa"/>
            <w:bottom w:w="0" w:type="dxa"/>
            <w:right w:w="108" w:type="dxa"/>
          </w:tblCellMar>
        </w:tblPrEx>
        <w:trPr>
          <w:trHeight w:val="1218" w:hRule="atLeast"/>
        </w:trPr>
        <w:tc>
          <w:tcPr>
            <w:tcW w:w="24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sz w:val="18"/>
                <w:szCs w:val="18"/>
              </w:rPr>
            </w:pPr>
          </w:p>
        </w:tc>
        <w:tc>
          <w:tcPr>
            <w:tcW w:w="485" w:type="pct"/>
            <w:tcBorders>
              <w:top w:val="single" w:color="auto" w:sz="4" w:space="0"/>
              <w:left w:val="single" w:color="auto" w:sz="4" w:space="0"/>
              <w:bottom w:val="single" w:color="auto" w:sz="4" w:space="0"/>
              <w:right w:val="single" w:color="auto" w:sz="4" w:space="0"/>
            </w:tcBorders>
            <w:vAlign w:val="center"/>
          </w:tcPr>
          <w:p>
            <w:pPr>
              <w:jc w:val="center"/>
              <w:textAlignment w:val="center"/>
              <w:rPr>
                <w:rFonts w:ascii="Times New Roman" w:hAnsi="Times New Roman" w:eastAsia="宋体" w:cs="Times New Roman"/>
                <w:color w:val="000000"/>
                <w:sz w:val="18"/>
                <w:szCs w:val="18"/>
              </w:rPr>
            </w:pPr>
            <w:r>
              <w:rPr>
                <w:rStyle w:val="188"/>
                <w:rFonts w:hint="default" w:ascii="Times New Roman" w:hAnsi="Times New Roman" w:cs="Times New Roman"/>
                <w:sz w:val="18"/>
                <w:szCs w:val="18"/>
                <w:lang w:eastAsia="zh-CN" w:bidi="ar"/>
              </w:rPr>
              <w:t>合计</w:t>
            </w:r>
            <w:r>
              <w:rPr>
                <w:rStyle w:val="189"/>
                <w:rFonts w:eastAsia="宋体"/>
                <w:sz w:val="18"/>
                <w:szCs w:val="18"/>
                <w:lang w:eastAsia="zh-CN" w:bidi="ar"/>
              </w:rPr>
              <w:br w:type="textWrapping"/>
            </w:r>
            <w:r>
              <w:rPr>
                <w:rStyle w:val="189"/>
                <w:rFonts w:eastAsia="宋体"/>
                <w:sz w:val="18"/>
                <w:szCs w:val="18"/>
                <w:lang w:eastAsia="zh-CN" w:bidi="ar"/>
              </w:rPr>
              <w:t>В итоге</w:t>
            </w:r>
          </w:p>
        </w:tc>
        <w:tc>
          <w:tcPr>
            <w:tcW w:w="1172"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sz w:val="18"/>
                <w:szCs w:val="18"/>
              </w:rPr>
            </w:pPr>
          </w:p>
        </w:tc>
        <w:tc>
          <w:tcPr>
            <w:tcW w:w="505"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sz w:val="18"/>
                <w:szCs w:val="18"/>
              </w:rPr>
            </w:pPr>
          </w:p>
        </w:tc>
        <w:tc>
          <w:tcPr>
            <w:tcW w:w="354"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sz w:val="18"/>
                <w:szCs w:val="18"/>
              </w:rPr>
            </w:pPr>
          </w:p>
        </w:tc>
        <w:tc>
          <w:tcPr>
            <w:tcW w:w="700"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sz w:val="18"/>
                <w:szCs w:val="18"/>
              </w:rPr>
            </w:pPr>
          </w:p>
        </w:tc>
        <w:tc>
          <w:tcPr>
            <w:tcW w:w="808" w:type="pct"/>
            <w:tcBorders>
              <w:top w:val="single" w:color="auto" w:sz="4" w:space="0"/>
              <w:left w:val="single" w:color="auto" w:sz="4" w:space="0"/>
              <w:bottom w:val="single" w:color="auto" w:sz="4" w:space="0"/>
              <w:right w:val="single" w:color="auto" w:sz="4" w:space="0"/>
            </w:tcBorders>
            <w:vAlign w:val="center"/>
          </w:tcPr>
          <w:p>
            <w:pPr>
              <w:jc w:val="center"/>
              <w:rPr>
                <w:rFonts w:ascii="Times New Roman" w:hAnsi="Times New Roman" w:eastAsia="宋体" w:cs="Times New Roman"/>
                <w:color w:val="000000"/>
                <w:sz w:val="18"/>
                <w:szCs w:val="18"/>
              </w:rPr>
            </w:pPr>
          </w:p>
        </w:tc>
        <w:tc>
          <w:tcPr>
            <w:tcW w:w="731" w:type="pct"/>
            <w:tcBorders>
              <w:top w:val="single" w:color="auto" w:sz="4" w:space="0"/>
              <w:left w:val="single" w:color="auto" w:sz="4" w:space="0"/>
              <w:bottom w:val="single" w:color="auto" w:sz="4" w:space="0"/>
              <w:right w:val="single" w:color="auto" w:sz="4" w:space="0"/>
            </w:tcBorders>
            <w:shd w:val="clear" w:color="auto" w:fill="FFFFFF"/>
            <w:vAlign w:val="center"/>
          </w:tcPr>
          <w:p>
            <w:pPr>
              <w:textAlignment w:val="center"/>
              <w:rPr>
                <w:rFonts w:ascii="Times New Roman" w:hAnsi="Times New Roman" w:eastAsia="楷体" w:cs="Times New Roman"/>
                <w:color w:val="000000"/>
                <w:sz w:val="18"/>
                <w:szCs w:val="18"/>
              </w:rPr>
            </w:pPr>
            <w:r>
              <w:rPr>
                <w:rFonts w:hint="default" w:ascii="Times New Roman" w:hAnsi="Times New Roman" w:eastAsia="宋体" w:cs="Times New Roman"/>
                <w:sz w:val="18"/>
                <w:szCs w:val="18"/>
                <w:lang w:eastAsia="zh-CN" w:bidi="ar"/>
              </w:rPr>
              <w:t>增值税税率/</w:t>
            </w:r>
            <w:r>
              <w:rPr>
                <w:rFonts w:ascii="Times New Roman" w:hAnsi="Times New Roman" w:eastAsia="楷体" w:cs="Times New Roman"/>
                <w:color w:val="000000"/>
                <w:sz w:val="18"/>
                <w:szCs w:val="18"/>
                <w:lang w:eastAsia="zh-CN" w:bidi="ar"/>
              </w:rPr>
              <w:t>Налог на НДС</w:t>
            </w:r>
            <w:r>
              <w:rPr>
                <w:rStyle w:val="190"/>
                <w:rFonts w:hint="default" w:ascii="Times New Roman" w:hAnsi="Times New Roman" w:cs="Times New Roman"/>
                <w:sz w:val="18"/>
                <w:szCs w:val="18"/>
                <w:lang w:eastAsia="zh-CN" w:bidi="ar"/>
              </w:rPr>
              <w:t>：</w:t>
            </w:r>
            <w:r>
              <w:rPr>
                <w:rFonts w:ascii="Times New Roman" w:hAnsi="Times New Roman" w:eastAsia="楷体" w:cs="Times New Roman"/>
                <w:color w:val="000000"/>
                <w:sz w:val="18"/>
                <w:szCs w:val="18"/>
                <w:lang w:eastAsia="zh-CN" w:bidi="ar"/>
              </w:rPr>
              <w:t>***</w:t>
            </w:r>
          </w:p>
        </w:tc>
      </w:tr>
    </w:tbl>
    <w:p>
      <w:pPr>
        <w:spacing w:after="0" w:line="240" w:lineRule="auto"/>
        <w:rPr>
          <w:rFonts w:ascii="Times New Roman" w:hAnsi="Times New Roman" w:eastAsia="楷体" w:cs="Times New Roman"/>
          <w:bCs/>
          <w:szCs w:val="24"/>
          <w:lang w:eastAsia="zh-CN"/>
        </w:rPr>
      </w:pPr>
      <w:r>
        <w:rPr>
          <w:rFonts w:ascii="Times New Roman" w:hAnsi="Times New Roman" w:eastAsia="楷体" w:cs="Times New Roman"/>
          <w:bCs/>
          <w:szCs w:val="24"/>
          <w:lang w:eastAsia="zh-CN"/>
        </w:rPr>
        <w:t>备注/Примечания:：</w:t>
      </w:r>
    </w:p>
    <w:p>
      <w:pPr>
        <w:spacing w:after="0" w:line="240" w:lineRule="auto"/>
        <w:rPr>
          <w:rFonts w:ascii="Times New Roman" w:hAnsi="Times New Roman" w:eastAsia="楷体" w:cs="Times New Roman"/>
          <w:bCs/>
          <w:szCs w:val="24"/>
          <w:lang w:eastAsia="zh-CN"/>
        </w:rPr>
      </w:pPr>
      <w:r>
        <w:rPr>
          <w:rFonts w:ascii="Times New Roman" w:hAnsi="Times New Roman" w:eastAsia="楷体" w:cs="Times New Roman"/>
          <w:bCs/>
          <w:szCs w:val="24"/>
          <w:lang w:eastAsia="zh-CN"/>
        </w:rPr>
        <w:t>1.上述报价均为供应物资的物流运输费、安装费、增值税及完成合同约定全部内容的所有费用；</w:t>
      </w:r>
    </w:p>
    <w:p>
      <w:pPr>
        <w:spacing w:after="0" w:line="240" w:lineRule="auto"/>
        <w:rPr>
          <w:rFonts w:ascii="Times New Roman" w:hAnsi="Times New Roman" w:eastAsia="楷体" w:cs="Times New Roman"/>
          <w:bCs/>
          <w:szCs w:val="24"/>
          <w:lang w:val="ru-RU" w:eastAsia="zh-CN"/>
        </w:rPr>
      </w:pPr>
      <w:r>
        <w:rPr>
          <w:rFonts w:ascii="Times New Roman" w:hAnsi="Times New Roman" w:eastAsia="楷体" w:cs="Times New Roman"/>
          <w:bCs/>
          <w:szCs w:val="24"/>
          <w:lang w:val="ru-RU" w:eastAsia="zh-CN"/>
        </w:rPr>
        <w:t>1.Указанные выше цены включают стоимость логистики и транспортировки поставляемых материалов, монтаж, НДС и все расходы, необходимые для полного выполнения ус</w:t>
      </w:r>
      <w:r>
        <w:rPr>
          <w:rFonts w:ascii="Times New Roman" w:hAnsi="Times New Roman" w:eastAsia="楷体" w:cs="Times New Roman"/>
          <w:bCs/>
          <w:szCs w:val="24"/>
          <w:lang w:val="ru-RU" w:eastAsia="zh-CN"/>
        </w:rPr>
        <w:br w:type="page"/>
      </w:r>
    </w:p>
    <w:p>
      <w:pPr>
        <w:adjustRightInd w:val="0"/>
        <w:snapToGrid w:val="0"/>
        <w:spacing w:after="0" w:line="360" w:lineRule="auto"/>
        <w:jc w:val="both"/>
        <w:rPr>
          <w:rFonts w:ascii="楷体" w:hAnsi="楷体" w:eastAsia="楷体" w:cs="Times New Roman"/>
          <w:bCs/>
          <w:szCs w:val="24"/>
          <w:lang w:val="ru-RU" w:eastAsia="zh-CN"/>
        </w:rPr>
      </w:pPr>
    </w:p>
    <w:p>
      <w:pPr>
        <w:adjustRightInd w:val="0"/>
        <w:snapToGrid w:val="0"/>
        <w:spacing w:after="0" w:line="360" w:lineRule="auto"/>
        <w:jc w:val="both"/>
        <w:rPr>
          <w:rFonts w:ascii="楷体" w:hAnsi="楷体" w:eastAsia="楷体" w:cs="Times New Roman"/>
          <w:bCs/>
          <w:szCs w:val="24"/>
          <w:lang w:val="ru-RU" w:eastAsia="zh-CN"/>
        </w:rPr>
      </w:pPr>
    </w:p>
    <w:tbl>
      <w:tblPr>
        <w:tblStyle w:val="3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84"/>
        <w:gridCol w:w="67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spacing w:before="120" w:after="120" w:line="240" w:lineRule="exact"/>
              <w:rPr>
                <w:rFonts w:ascii="Times New Roman" w:hAnsi="Times New Roman" w:eastAsia="楷体" w:cs="Times New Roman"/>
                <w:b/>
                <w:highlight w:val="yellow"/>
                <w:lang w:val="ru-RU" w:eastAsia="zh-CN"/>
              </w:rPr>
            </w:pPr>
            <w:r>
              <w:rPr>
                <w:rFonts w:ascii="Times New Roman" w:hAnsi="Times New Roman" w:eastAsia="楷体" w:cs="Times New Roman"/>
                <w:b/>
                <w:lang w:val="ru-RU" w:eastAsia="zh-CN"/>
              </w:rPr>
              <w:t xml:space="preserve">Договор на закупку лифтов для производственно-офисного здания проекта ПГУ (парогазовой установки) мощностью 160 Мв в г.Актау Мангистауской области  </w:t>
            </w:r>
            <w:r>
              <w:rPr>
                <w:rFonts w:ascii="Times New Roman" w:hAnsi="Times New Roman" w:eastAsia="楷体" w:cs="Times New Roman"/>
                <w:b/>
                <w:highlight w:val="yellow"/>
                <w:lang w:val="ru-RU" w:eastAsia="zh-CN"/>
              </w:rPr>
              <w:t xml:space="preserve"> </w:t>
            </w:r>
          </w:p>
          <w:p>
            <w:pPr>
              <w:spacing w:before="120" w:after="120" w:line="240" w:lineRule="exact"/>
              <w:rPr>
                <w:rFonts w:ascii="Times New Roman" w:hAnsi="Times New Roman" w:eastAsia="楷体" w:cs="Times New Roman"/>
                <w:b/>
                <w:lang w:val="ru-RU" w:eastAsia="zh-CN"/>
              </w:rPr>
            </w:pPr>
            <w:r>
              <w:rPr>
                <w:rFonts w:ascii="Times New Roman" w:hAnsi="Times New Roman" w:eastAsia="楷体" w:cs="Times New Roman"/>
                <w:b/>
                <w:lang w:val="ru-RU" w:eastAsia="zh-CN"/>
              </w:rPr>
              <w:t>Номер договора:</w:t>
            </w:r>
            <w:r>
              <w:rPr>
                <w:rFonts w:hint="eastAsia" w:ascii="Times New Roman" w:hAnsi="Times New Roman" w:eastAsia="楷体" w:cs="Times New Roman"/>
                <w:b/>
                <w:color w:val="auto"/>
                <w:szCs w:val="24"/>
                <w:lang w:eastAsia="zh-CN"/>
              </w:rPr>
              <w:t>HDHT-AKTEPC-WZ-2026-02</w:t>
            </w:r>
          </w:p>
          <w:p>
            <w:pPr>
              <w:pStyle w:val="2"/>
              <w:ind w:left="0" w:leftChars="0" w:firstLine="0" w:firstLineChars="0"/>
              <w:rPr>
                <w:rFonts w:ascii="Times New Roman" w:hAnsi="Times New Roman" w:cs="Times New Roman"/>
                <w:lang w:val="ru-RU" w:eastAsia="zh-CN"/>
              </w:rPr>
            </w:pPr>
            <w:r>
              <w:rPr>
                <w:rFonts w:ascii="Times New Roman" w:hAnsi="Times New Roman" w:cs="Times New Roman"/>
                <w:lang w:val="ru-RU" w:eastAsia="zh-CN"/>
              </w:rPr>
              <w:t>«____»_________20___г.</w:t>
            </w:r>
          </w:p>
          <w:p>
            <w:pPr>
              <w:pStyle w:val="2"/>
              <w:ind w:left="0" w:leftChars="0" w:firstLine="0" w:firstLineChars="0"/>
              <w:rPr>
                <w:rFonts w:ascii="Times New Roman" w:hAnsi="Times New Roman" w:cs="Times New Roman"/>
                <w:lang w:val="ru-RU" w:eastAsia="zh-CN"/>
              </w:rPr>
            </w:pPr>
          </w:p>
          <w:p>
            <w:pPr>
              <w:pStyle w:val="2"/>
              <w:ind w:left="0" w:leftChars="0" w:firstLine="0" w:firstLineChars="0"/>
              <w:rPr>
                <w:rFonts w:ascii="Times New Roman" w:hAnsi="Times New Roman" w:cs="Times New Roman"/>
                <w:lang w:val="ru-RU" w:eastAsia="zh-CN"/>
              </w:rPr>
            </w:pPr>
            <w:r>
              <w:rPr>
                <w:rFonts w:ascii="Times New Roman" w:hAnsi="Times New Roman" w:cs="Times New Roman"/>
                <w:highlight w:val="none"/>
                <w:lang w:val="ru-RU" w:eastAsia="zh-CN"/>
              </w:rPr>
              <w:t>Приложение 2: Основные технические требования к лифтам в производственно-административном здании</w:t>
            </w:r>
          </w:p>
        </w:tc>
        <w:tc>
          <w:tcPr>
            <w:tcW w:w="6778" w:type="dxa"/>
          </w:tcPr>
          <w:p>
            <w:pPr>
              <w:spacing w:before="120" w:after="120" w:line="240" w:lineRule="exact"/>
              <w:ind w:firstLine="500"/>
              <w:jc w:val="right"/>
              <w:rPr>
                <w:rFonts w:ascii="楷体" w:hAnsi="楷体" w:eastAsia="楷体"/>
                <w:b/>
                <w:color w:val="auto"/>
                <w:lang w:val="ru-RU" w:eastAsia="zh-CN"/>
              </w:rPr>
            </w:pPr>
            <w:r>
              <w:rPr>
                <w:rFonts w:hint="eastAsia" w:ascii="Times New Roman" w:hAnsi="Times New Roman" w:eastAsia="楷体" w:cs="Times New Roman"/>
                <w:b/>
                <w:color w:val="auto"/>
                <w:szCs w:val="24"/>
                <w:lang w:eastAsia="zh-CN"/>
              </w:rPr>
              <w:t>阿克套燃机项目</w:t>
            </w:r>
            <w:bookmarkStart w:id="14" w:name="OLE_LINK7"/>
            <w:r>
              <w:rPr>
                <w:rFonts w:hint="eastAsia" w:ascii="Times New Roman" w:hAnsi="Times New Roman" w:eastAsia="楷体" w:cs="Times New Roman"/>
                <w:b/>
                <w:color w:val="auto"/>
                <w:szCs w:val="24"/>
                <w:lang w:val="en-US" w:eastAsia="zh-CN"/>
              </w:rPr>
              <w:t>办公楼</w:t>
            </w:r>
            <w:bookmarkEnd w:id="14"/>
            <w:r>
              <w:rPr>
                <w:rFonts w:hint="eastAsia" w:ascii="Times New Roman" w:hAnsi="Times New Roman" w:eastAsia="楷体" w:cs="Times New Roman"/>
                <w:b/>
                <w:color w:val="auto"/>
                <w:szCs w:val="24"/>
                <w:lang w:eastAsia="zh-CN"/>
              </w:rPr>
              <w:t>电梯采购合同</w:t>
            </w:r>
            <w:r>
              <w:rPr>
                <w:rFonts w:hint="eastAsia" w:ascii="楷体" w:hAnsi="楷体" w:eastAsia="楷体"/>
                <w:b/>
                <w:color w:val="auto"/>
                <w:lang w:val="ru-RU" w:eastAsia="zh-CN"/>
              </w:rPr>
              <w:t xml:space="preserve">  </w:t>
            </w:r>
          </w:p>
          <w:p>
            <w:pPr>
              <w:spacing w:before="120" w:after="120" w:line="240" w:lineRule="exact"/>
              <w:ind w:firstLine="500"/>
              <w:jc w:val="right"/>
              <w:rPr>
                <w:rFonts w:hint="eastAsia" w:ascii="Times New Roman" w:hAnsi="Times New Roman" w:eastAsia="楷体" w:cs="Times New Roman"/>
                <w:b/>
                <w:color w:val="auto"/>
                <w:szCs w:val="24"/>
                <w:lang w:eastAsia="zh-CN"/>
              </w:rPr>
            </w:pPr>
            <w:r>
              <w:rPr>
                <w:rFonts w:hint="eastAsia" w:ascii="楷体" w:hAnsi="楷体" w:eastAsia="楷体"/>
                <w:b/>
                <w:color w:val="auto"/>
                <w:lang w:eastAsia="zh-CN"/>
              </w:rPr>
              <w:t>合同编号</w:t>
            </w:r>
            <w:r>
              <w:rPr>
                <w:rFonts w:hint="eastAsia" w:ascii="楷体" w:hAnsi="楷体" w:eastAsia="楷体"/>
                <w:b/>
                <w:color w:val="auto"/>
                <w:lang w:val="ru-RU" w:eastAsia="zh-CN"/>
              </w:rPr>
              <w:t>：</w:t>
            </w:r>
            <w:r>
              <w:rPr>
                <w:rFonts w:hint="eastAsia" w:ascii="Times New Roman" w:hAnsi="Times New Roman" w:eastAsia="楷体" w:cs="Times New Roman"/>
                <w:b/>
                <w:color w:val="auto"/>
                <w:szCs w:val="24"/>
                <w:lang w:eastAsia="zh-CN"/>
              </w:rPr>
              <w:t>HDHT-AKTEPC-WZ-2026-02</w:t>
            </w:r>
          </w:p>
          <w:p>
            <w:pPr>
              <w:spacing w:before="120" w:after="120" w:line="240" w:lineRule="exact"/>
              <w:ind w:firstLine="500"/>
              <w:jc w:val="right"/>
              <w:rPr>
                <w:rFonts w:ascii="楷体" w:hAnsi="楷体" w:eastAsia="楷体"/>
                <w:b/>
                <w:color w:val="auto"/>
                <w:sz w:val="21"/>
                <w:szCs w:val="21"/>
                <w:lang w:eastAsia="zh-CN"/>
              </w:rPr>
            </w:pPr>
            <w:r>
              <w:rPr>
                <w:rFonts w:hint="eastAsia" w:ascii="楷体" w:hAnsi="楷体" w:eastAsia="楷体"/>
                <w:b/>
                <w:color w:val="auto"/>
                <w:sz w:val="21"/>
                <w:szCs w:val="21"/>
                <w:lang w:eastAsia="zh-CN"/>
              </w:rPr>
              <w:t xml:space="preserve">***年***月***日  </w:t>
            </w:r>
          </w:p>
          <w:p>
            <w:pPr>
              <w:adjustRightInd w:val="0"/>
              <w:snapToGrid w:val="0"/>
              <w:spacing w:after="0" w:line="360" w:lineRule="auto"/>
              <w:jc w:val="right"/>
              <w:rPr>
                <w:rFonts w:eastAsia="楷体"/>
                <w:b/>
                <w:color w:val="auto"/>
                <w:sz w:val="21"/>
                <w:szCs w:val="21"/>
                <w:lang w:val="ru-RU" w:eastAsia="zh-CN"/>
              </w:rPr>
            </w:pPr>
          </w:p>
          <w:p>
            <w:pPr>
              <w:adjustRightInd w:val="0"/>
              <w:snapToGrid w:val="0"/>
              <w:spacing w:after="0" w:line="360" w:lineRule="auto"/>
              <w:jc w:val="right"/>
              <w:rPr>
                <w:rFonts w:eastAsia="楷体"/>
                <w:b/>
                <w:color w:val="auto"/>
                <w:sz w:val="21"/>
                <w:szCs w:val="21"/>
                <w:lang w:val="ru-RU" w:eastAsia="zh-CN"/>
              </w:rPr>
            </w:pPr>
          </w:p>
          <w:p>
            <w:pPr>
              <w:adjustRightInd w:val="0"/>
              <w:snapToGrid w:val="0"/>
              <w:spacing w:after="0" w:line="360" w:lineRule="auto"/>
              <w:jc w:val="right"/>
              <w:rPr>
                <w:rFonts w:eastAsia="楷体"/>
                <w:b/>
                <w:color w:val="auto"/>
                <w:sz w:val="21"/>
                <w:szCs w:val="21"/>
                <w:lang w:val="ru-RU" w:eastAsia="zh-CN"/>
              </w:rPr>
            </w:pPr>
          </w:p>
          <w:p>
            <w:pPr>
              <w:adjustRightInd w:val="0"/>
              <w:snapToGrid w:val="0"/>
              <w:spacing w:after="0" w:line="360" w:lineRule="auto"/>
              <w:jc w:val="right"/>
              <w:rPr>
                <w:rFonts w:ascii="楷体" w:hAnsi="楷体" w:eastAsia="楷体" w:cs="Times New Roman"/>
                <w:bCs/>
                <w:color w:val="auto"/>
                <w:sz w:val="21"/>
                <w:szCs w:val="21"/>
                <w:lang w:eastAsia="zh-CN"/>
              </w:rPr>
            </w:pPr>
            <w:r>
              <w:rPr>
                <w:rFonts w:hint="eastAsia" w:ascii="楷体" w:hAnsi="楷体" w:eastAsia="楷体"/>
                <w:b/>
                <w:color w:val="auto"/>
                <w:sz w:val="21"/>
                <w:szCs w:val="21"/>
                <w:lang w:eastAsia="zh-CN"/>
              </w:rPr>
              <w:t>附件2：</w:t>
            </w:r>
            <w:r>
              <w:rPr>
                <w:rFonts w:hint="eastAsia" w:ascii="Times New Roman" w:hAnsi="Times New Roman" w:eastAsia="楷体" w:cs="Times New Roman"/>
                <w:b/>
                <w:color w:val="auto"/>
                <w:szCs w:val="24"/>
                <w:lang w:val="en-US" w:eastAsia="zh-CN"/>
              </w:rPr>
              <w:t>办公楼</w:t>
            </w:r>
            <w:r>
              <w:rPr>
                <w:rFonts w:hint="eastAsia" w:ascii="楷体" w:hAnsi="楷体" w:eastAsia="楷体" w:cs="Times New Roman"/>
                <w:b/>
                <w:color w:val="auto"/>
                <w:sz w:val="21"/>
                <w:szCs w:val="21"/>
                <w:lang w:eastAsia="zh-CN"/>
              </w:rPr>
              <w:t>电梯主要技术要求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eastAsia="zh-CN"/>
              </w:rPr>
            </w:pPr>
            <w:r>
              <w:rPr>
                <w:rFonts w:ascii="Times New Roman" w:hAnsi="Times New Roman" w:cs="Times New Roman"/>
                <w:lang w:val="ru-RU"/>
              </w:rPr>
              <w:t xml:space="preserve">1. </w:t>
            </w:r>
            <w:r>
              <w:rPr>
                <w:rFonts w:ascii="Times New Roman" w:hAnsi="Times New Roman" w:cs="Times New Roman"/>
              </w:rPr>
              <w:t>Основные технические требования</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1.基本技术要求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 Конструкция лифта, оборудование и оснащение должны соответствовать требованиям пожарных норм Республики Казахстан и соблюдению казахстанских правил, регулирующих лифты. Максимальная нагрузка лифта должна составлять 1,25 от номинальной грузоподъемности, предусмотренной проектом лифта.</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1.1.电梯设计、设备及设施均应满足哈萨克斯坦有关消防规范要求，符合哈萨克斯坦对电梯的相关规定。电梯设计最大载重量为电梯设计额定载重量的1.25倍。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highlight w:val="none"/>
                <w:lang w:val="ru-RU"/>
              </w:rPr>
              <w:t>1.2. В кабине должны быть установлены кнопка вызова помощи при возникновении препятствий, телефонная связь для внешних вызовов; при отключении электроэнергии кабина должна автоматически останавливаться на этаже (выравнивание) с открытием дверей.</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1.2. 轿厢内设置运行遇障时呼救按钮及对外联系电话，停电时轿厢可自动停层（平层）开门。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1.3. На всех остановочных этажах должны быть установлены цифровые дисплеи для отображения этажа и указатели направления движения (вверх/вниз).</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1.3. 所有停靠层均设有显示层数的数字显示器和上、下行显示。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1.4. На нижнем этаже лифта должна быть установлена кнопка для использования пожарной частью.</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1.4. 在电梯的底层应设有消防所专用的操作按钮。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1.5. Лифт должен иметь функцию автоматического возврата на заданный этаж в режиме резервного питания.</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1.5. 电梯应设有备用状态下自动回到指定层的功能。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auto"/>
                <w:sz w:val="21"/>
                <w:szCs w:val="21"/>
                <w:highlight w:val="none"/>
                <w:lang w:val="ru-RU" w:eastAsia="zh-CN"/>
              </w:rPr>
            </w:pPr>
            <w:r>
              <w:rPr>
                <w:rFonts w:ascii="Times New Roman" w:hAnsi="Times New Roman" w:cs="Times New Roman"/>
                <w:color w:val="auto"/>
                <w:highlight w:val="none"/>
                <w:lang w:val="ru-RU"/>
              </w:rPr>
              <w:t>1.6. Данный</w:t>
            </w:r>
            <w:r>
              <w:rPr>
                <w:rFonts w:ascii="Times New Roman" w:hAnsi="Times New Roman" w:cs="Times New Roman"/>
                <w:color w:val="auto"/>
                <w:highlight w:val="none"/>
              </w:rPr>
              <w:t xml:space="preserve"> лифт предназначен для перевозки пассажиров в производственно-офисном здании.</w:t>
            </w:r>
          </w:p>
        </w:tc>
        <w:tc>
          <w:tcPr>
            <w:tcW w:w="6778" w:type="dxa"/>
          </w:tcPr>
          <w:p>
            <w:pPr>
              <w:adjustRightInd w:val="0"/>
              <w:snapToGrid w:val="0"/>
              <w:spacing w:after="0" w:line="360" w:lineRule="auto"/>
              <w:rPr>
                <w:rFonts w:ascii="楷体" w:hAnsi="楷体" w:eastAsia="楷体" w:cs="Times New Roman"/>
                <w:bCs/>
                <w:color w:val="auto"/>
                <w:sz w:val="21"/>
                <w:szCs w:val="21"/>
                <w:highlight w:val="none"/>
                <w:lang w:eastAsia="zh-CN"/>
              </w:rPr>
            </w:pPr>
            <w:r>
              <w:rPr>
                <w:rFonts w:hint="eastAsia" w:ascii="楷体" w:hAnsi="楷体" w:eastAsia="楷体" w:cs="Times New Roman"/>
                <w:bCs/>
                <w:color w:val="auto"/>
                <w:sz w:val="21"/>
                <w:szCs w:val="21"/>
                <w:highlight w:val="none"/>
                <w:lang w:eastAsia="zh-CN"/>
              </w:rPr>
              <w:t>1.6. 本电梯作为</w:t>
            </w:r>
            <w:r>
              <w:rPr>
                <w:rFonts w:hint="eastAsia" w:ascii="楷体" w:hAnsi="楷体" w:eastAsia="楷体" w:cs="Times New Roman"/>
                <w:bCs/>
                <w:color w:val="auto"/>
                <w:sz w:val="21"/>
                <w:szCs w:val="21"/>
                <w:highlight w:val="none"/>
                <w:lang w:val="en-US" w:eastAsia="zh-CN"/>
              </w:rPr>
              <w:t>办公楼</w:t>
            </w:r>
            <w:r>
              <w:rPr>
                <w:rFonts w:hint="eastAsia" w:ascii="楷体" w:hAnsi="楷体" w:eastAsia="楷体" w:cs="Times New Roman"/>
                <w:bCs/>
                <w:color w:val="auto"/>
                <w:sz w:val="21"/>
                <w:szCs w:val="21"/>
                <w:highlight w:val="none"/>
                <w:lang w:eastAsia="zh-CN"/>
              </w:rPr>
              <w:t>建筑载客使用。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1.7. На панели управления установлен вентилятор с микроизбыточным давлением и защитной сеткой от пыли.</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1.7. 控制屏设置入口带防尘网的微正压运行的风机。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1.8. Устройство переключения источников питания лифта должно предоставляться заводом-изготовителем (лифт питается от двух источников питания).</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1.8. 电梯的电源切换装置由电梯厂提供（电梯由双电源供电）。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eastAsia="zh-CN"/>
              </w:rPr>
            </w:pPr>
            <w:r>
              <w:rPr>
                <w:rFonts w:ascii="Times New Roman" w:hAnsi="Times New Roman" w:cs="Times New Roman"/>
                <w:lang w:val="ru-RU"/>
              </w:rPr>
              <w:t xml:space="preserve">1.9. Кабели, следующие за кабиной, должны быть комбинированными; коммуникационные кабели — экранированными. </w:t>
            </w:r>
            <w:r>
              <w:rPr>
                <w:rFonts w:ascii="Times New Roman" w:hAnsi="Times New Roman" w:cs="Times New Roman"/>
              </w:rPr>
              <w:t>Кабели и провода должны быть защищены от воздействия воды.</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1.9. 随轿厢运行的电缆应采用组合式电缆，通讯电缆采用屏蔽电缆。电缆、电线均应采取防水措施。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1.10. Лифт должен быть оборудован сигнализатором перегрузки и системой противопожарной защиты. Эта противопожарная система должна предусматривать соответствующие интерфейсы для передачи сигналов, чтобы информация о работе лифта в пожарном режиме могла отображаться на шкафу управления пожарной сигнализацией в центре управления.</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1.10. 电梯应装设超载警报器和消防系统。该消防系统应留有有关消防信号接口，使电梯消防运行情况可以在集控室消防控制柜上得到显示。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1.11. На панели управления в машинном помещении лифта должна быть функция отображения количества поездок лифта, а также установлен один телефон, при этом вывод телефонного кабеля должен оставаться в шахте, с подключением через стандартную настенную телефонную розетку.</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1.11. 电梯机房内的控制屏上应具有显示电梯运行次数的功能，并设有电话机一部，要求电话机出线留在井道底，采用墙壁标准电话插口接线方式。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1.12. Лифт должен иметь возможность достигать платформ на разных отметках, вплоть до верхней точки шахты лифта.</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1.12. 电梯能到达不同标高的平台，直到电梯井道顶部。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1.13. Соединения направляющих должны обеспечивать точность, а общая вертикальность — соответствие требованиям Республики Казахстан.</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1.13. 导轨对接处应保证精度，整体垂直度满足哈国相关要求。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1.14. Лифт должен обеспечивать плавность движения, а также защиту от вибраций и пыли.</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1.14. 具有运行平稳，防震防尘性能。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cs="Times New Roman"/>
                <w:lang w:val="ru-RU"/>
              </w:rPr>
            </w:pPr>
            <w:r>
              <w:rPr>
                <w:rFonts w:ascii="Times New Roman" w:hAnsi="Times New Roman" w:cs="Times New Roman"/>
                <w:lang w:val="ru-RU"/>
              </w:rPr>
              <w:t>1.15. Лифт должен обладать следующими функциями:</w:t>
            </w:r>
          </w:p>
          <w:p>
            <w:pPr>
              <w:pStyle w:val="2"/>
              <w:ind w:left="480" w:firstLine="0" w:firstLineChars="0"/>
              <w:rPr>
                <w:rFonts w:ascii="Times New Roman" w:hAnsi="Times New Roman" w:cs="Times New Roman"/>
                <w:lang w:val="ru-RU"/>
              </w:rPr>
            </w:pPr>
            <w:r>
              <w:rPr>
                <w:rFonts w:ascii="Times New Roman" w:hAnsi="Times New Roman" w:cs="Times New Roman"/>
                <w:lang w:val="ru-RU"/>
              </w:rPr>
              <w:t>(1) Прямое движение при полной нагрузке</w:t>
            </w:r>
            <w:r>
              <w:rPr>
                <w:rFonts w:ascii="Times New Roman" w:hAnsi="Times New Roman" w:cs="Times New Roman"/>
                <w:lang w:val="ru-RU"/>
              </w:rPr>
              <w:br w:type="textWrapping"/>
            </w:r>
            <w:r>
              <w:rPr>
                <w:rFonts w:ascii="Times New Roman" w:hAnsi="Times New Roman" w:cs="Times New Roman"/>
                <w:lang w:val="ru-RU"/>
              </w:rPr>
              <w:t>(2) Возврат на основной этаж при пожаре</w:t>
            </w:r>
            <w:r>
              <w:rPr>
                <w:rFonts w:ascii="Times New Roman" w:hAnsi="Times New Roman" w:cs="Times New Roman"/>
                <w:lang w:val="ru-RU"/>
              </w:rPr>
              <w:br w:type="textWrapping"/>
            </w:r>
            <w:r>
              <w:rPr>
                <w:rFonts w:ascii="Times New Roman" w:hAnsi="Times New Roman" w:cs="Times New Roman"/>
                <w:lang w:val="ru-RU"/>
              </w:rPr>
              <w:t>(3) Защита от перегрузки</w:t>
            </w:r>
            <w:r>
              <w:rPr>
                <w:rFonts w:ascii="Times New Roman" w:hAnsi="Times New Roman" w:cs="Times New Roman"/>
                <w:lang w:val="ru-RU"/>
              </w:rPr>
              <w:br w:type="textWrapping"/>
            </w:r>
            <w:r>
              <w:rPr>
                <w:rFonts w:ascii="Times New Roman" w:hAnsi="Times New Roman" w:cs="Times New Roman"/>
                <w:lang w:val="ru-RU"/>
              </w:rPr>
              <w:t>(4) Защита от превышения скорости</w:t>
            </w:r>
            <w:r>
              <w:rPr>
                <w:rFonts w:ascii="Times New Roman" w:hAnsi="Times New Roman" w:cs="Times New Roman"/>
                <w:lang w:val="ru-RU"/>
              </w:rPr>
              <w:br w:type="textWrapping"/>
            </w:r>
            <w:r>
              <w:rPr>
                <w:rFonts w:ascii="Times New Roman" w:hAnsi="Times New Roman" w:cs="Times New Roman"/>
                <w:lang w:val="ru-RU"/>
              </w:rPr>
              <w:t>(5) Автоматический возврат на основной этаж при некорректном положении</w:t>
            </w:r>
            <w:r>
              <w:rPr>
                <w:rFonts w:ascii="Times New Roman" w:hAnsi="Times New Roman" w:cs="Times New Roman"/>
                <w:lang w:val="ru-RU"/>
              </w:rPr>
              <w:br w:type="textWrapping"/>
            </w:r>
            <w:r>
              <w:rPr>
                <w:rFonts w:ascii="Times New Roman" w:hAnsi="Times New Roman" w:cs="Times New Roman"/>
                <w:lang w:val="ru-RU"/>
              </w:rPr>
              <w:t>(6) Автоматическая защита дверей при открытии/закрытии</w:t>
            </w:r>
            <w:r>
              <w:rPr>
                <w:rFonts w:ascii="Times New Roman" w:hAnsi="Times New Roman" w:cs="Times New Roman"/>
                <w:lang w:val="ru-RU"/>
              </w:rPr>
              <w:br w:type="textWrapping"/>
            </w:r>
            <w:r>
              <w:rPr>
                <w:rFonts w:ascii="Times New Roman" w:hAnsi="Times New Roman" w:cs="Times New Roman"/>
                <w:lang w:val="ru-RU"/>
              </w:rPr>
              <w:t>(7) Функция обслуживания (ремонта)</w:t>
            </w:r>
            <w:r>
              <w:rPr>
                <w:rFonts w:ascii="Times New Roman" w:hAnsi="Times New Roman" w:cs="Times New Roman"/>
                <w:lang w:val="ru-RU"/>
              </w:rPr>
              <w:br w:type="textWrapping"/>
            </w:r>
            <w:r>
              <w:rPr>
                <w:rFonts w:ascii="Times New Roman" w:hAnsi="Times New Roman" w:cs="Times New Roman"/>
                <w:lang w:val="ru-RU"/>
              </w:rPr>
              <w:t>(8) Функция независимой работы</w:t>
            </w:r>
            <w:r>
              <w:rPr>
                <w:rFonts w:ascii="Times New Roman" w:hAnsi="Times New Roman" w:cs="Times New Roman"/>
                <w:lang w:val="ru-RU"/>
              </w:rPr>
              <w:br w:type="textWrapping"/>
            </w:r>
            <w:r>
              <w:rPr>
                <w:rFonts w:ascii="Times New Roman" w:hAnsi="Times New Roman" w:cs="Times New Roman"/>
                <w:lang w:val="ru-RU"/>
              </w:rPr>
              <w:t>(9) Автоматическое отключение освещения и вентилятора при холостом ходе</w:t>
            </w:r>
            <w:r>
              <w:rPr>
                <w:rFonts w:ascii="Times New Roman" w:hAnsi="Times New Roman" w:cs="Times New Roman"/>
                <w:lang w:val="ru-RU"/>
              </w:rPr>
              <w:br w:type="textWrapping"/>
            </w:r>
            <w:r>
              <w:rPr>
                <w:rFonts w:ascii="Times New Roman" w:hAnsi="Times New Roman" w:cs="Times New Roman"/>
                <w:lang w:val="ru-RU"/>
              </w:rPr>
              <w:t>(10) Защита от вмешательства посторонних</w:t>
            </w:r>
            <w:r>
              <w:rPr>
                <w:rFonts w:ascii="Times New Roman" w:hAnsi="Times New Roman" w:cs="Times New Roman"/>
                <w:lang w:val="ru-RU"/>
              </w:rPr>
              <w:br w:type="textWrapping"/>
            </w:r>
            <w:r>
              <w:rPr>
                <w:rFonts w:ascii="Times New Roman" w:hAnsi="Times New Roman" w:cs="Times New Roman"/>
                <w:lang w:val="ru-RU"/>
              </w:rPr>
              <w:t>(11) Работа без оператора</w:t>
            </w:r>
            <w:r>
              <w:rPr>
                <w:rFonts w:ascii="Times New Roman" w:hAnsi="Times New Roman" w:cs="Times New Roman"/>
                <w:lang w:val="ru-RU"/>
              </w:rPr>
              <w:br w:type="textWrapping"/>
            </w:r>
            <w:r>
              <w:rPr>
                <w:rFonts w:ascii="Times New Roman" w:hAnsi="Times New Roman" w:cs="Times New Roman"/>
                <w:lang w:val="ru-RU"/>
              </w:rPr>
              <w:t>(12) Защита безопасности при ремонте кабины</w:t>
            </w:r>
            <w:r>
              <w:rPr>
                <w:rFonts w:ascii="Times New Roman" w:hAnsi="Times New Roman" w:cs="Times New Roman"/>
                <w:lang w:val="ru-RU"/>
              </w:rPr>
              <w:br w:type="textWrapping"/>
            </w:r>
            <w:r>
              <w:rPr>
                <w:rFonts w:ascii="Times New Roman" w:hAnsi="Times New Roman" w:cs="Times New Roman"/>
                <w:lang w:val="ru-RU"/>
              </w:rPr>
              <w:t>(13) Звуковой сигнал при остановках на этажах</w:t>
            </w:r>
            <w:r>
              <w:rPr>
                <w:rFonts w:ascii="Times New Roman" w:hAnsi="Times New Roman" w:cs="Times New Roman"/>
                <w:lang w:val="ru-RU"/>
              </w:rPr>
              <w:br w:type="textWrapping"/>
            </w:r>
            <w:r>
              <w:rPr>
                <w:rFonts w:ascii="Times New Roman" w:hAnsi="Times New Roman" w:cs="Times New Roman"/>
                <w:lang w:val="ru-RU"/>
              </w:rPr>
              <w:t>(14) Автоматическое поддержание времени открывания дверей</w:t>
            </w:r>
            <w:r>
              <w:rPr>
                <w:rFonts w:ascii="Times New Roman" w:hAnsi="Times New Roman" w:cs="Times New Roman"/>
                <w:lang w:val="ru-RU"/>
              </w:rPr>
              <w:br w:type="textWrapping"/>
            </w:r>
            <w:r>
              <w:rPr>
                <w:rFonts w:ascii="Times New Roman" w:hAnsi="Times New Roman" w:cs="Times New Roman"/>
                <w:lang w:val="ru-RU"/>
              </w:rPr>
              <w:t>(15) Функции самодиагностики, отображения и прогнозирования неисправностей</w:t>
            </w:r>
            <w:r>
              <w:rPr>
                <w:rFonts w:ascii="Times New Roman" w:hAnsi="Times New Roman" w:cs="Times New Roman"/>
                <w:lang w:val="ru-RU"/>
              </w:rPr>
              <w:br w:type="textWrapping"/>
            </w:r>
            <w:r>
              <w:rPr>
                <w:rFonts w:ascii="Times New Roman" w:hAnsi="Times New Roman" w:cs="Times New Roman"/>
                <w:lang w:val="ru-RU"/>
              </w:rPr>
              <w:t>(16) Отображение этажа и направления движения</w:t>
            </w:r>
            <w:r>
              <w:rPr>
                <w:rFonts w:ascii="Times New Roman" w:hAnsi="Times New Roman" w:cs="Times New Roman"/>
                <w:lang w:val="ru-RU"/>
              </w:rPr>
              <w:br w:type="textWrapping"/>
            </w:r>
            <w:r>
              <w:rPr>
                <w:rFonts w:ascii="Times New Roman" w:hAnsi="Times New Roman" w:cs="Times New Roman"/>
                <w:lang w:val="ru-RU"/>
              </w:rPr>
              <w:t>(17) Функция устранения ошибок при неправильной эксплуатации</w:t>
            </w:r>
          </w:p>
        </w:tc>
        <w:tc>
          <w:tcPr>
            <w:tcW w:w="6778" w:type="dxa"/>
          </w:tcPr>
          <w:p>
            <w:pPr>
              <w:tabs>
                <w:tab w:val="left" w:pos="1050"/>
              </w:tabs>
              <w:adjustRightInd w:val="0"/>
              <w:spacing w:after="0" w:line="360" w:lineRule="auto"/>
              <w:rPr>
                <w:color w:val="auto"/>
                <w:lang w:eastAsia="zh-CN"/>
              </w:rPr>
            </w:pPr>
            <w:r>
              <w:rPr>
                <w:rFonts w:hint="eastAsia" w:ascii="楷体" w:hAnsi="楷体" w:eastAsia="楷体" w:cs="Times New Roman"/>
                <w:bCs/>
                <w:color w:val="auto"/>
                <w:szCs w:val="24"/>
                <w:lang w:eastAsia="zh-CN"/>
              </w:rPr>
              <w:t>1.15电梯还应有以下功能: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（1）满载直驶</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（2）火警返回基本层</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（3）超载保护功能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（4）超速保护功能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（5）位置异常自动返回基本层</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（6）开关门自动保护功能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（7）检修操作功能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（8）独立操作功能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（9）闲驶自动熄灯、风扇停止功能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（10）防捣乱功能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（11）无司机操作功能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（12）轿厢检修安全保护</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（13）报站钟</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（14）保持开门时间自控功能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（15）故障自诊断、显示、预报功能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（16）楼层及方向显示功能</w:t>
            </w:r>
          </w:p>
          <w:p>
            <w:pPr>
              <w:adjustRightInd w:val="0"/>
              <w:snapToGrid w:val="0"/>
              <w:spacing w:after="0" w:line="360" w:lineRule="auto"/>
              <w:rPr>
                <w:rFonts w:ascii="楷体" w:hAnsi="楷体" w:eastAsia="楷体" w:cs="Times New Roman"/>
                <w:bCs/>
                <w:color w:val="auto"/>
                <w:szCs w:val="24"/>
                <w:lang w:eastAsia="zh-CN"/>
              </w:rPr>
            </w:pPr>
            <w:r>
              <w:rPr>
                <w:rFonts w:hint="eastAsia" w:ascii="楷体" w:hAnsi="楷体" w:eastAsia="楷体" w:cs="Times New Roman"/>
                <w:bCs/>
                <w:color w:val="auto"/>
                <w:sz w:val="21"/>
                <w:szCs w:val="21"/>
                <w:lang w:eastAsia="zh-CN"/>
              </w:rPr>
              <w:t>（17）误操作消除功能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ind w:left="29"/>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1.16 Лифт должен быть оснащен как минимум следующими средствами безопасности:</w:t>
            </w:r>
            <w:r>
              <w:rPr>
                <w:rFonts w:ascii="Times New Roman" w:hAnsi="Times New Roman" w:cs="Times New Roman"/>
                <w:lang w:val="ru-RU"/>
              </w:rPr>
              <w:br w:type="textWrapping"/>
            </w:r>
            <w:r>
              <w:rPr>
                <w:rFonts w:ascii="Times New Roman" w:hAnsi="Times New Roman" w:cs="Times New Roman"/>
                <w:lang w:val="ru-RU"/>
              </w:rPr>
              <w:t>(1) Устройство защиты от превышения скорости</w:t>
            </w:r>
            <w:r>
              <w:rPr>
                <w:rFonts w:ascii="Times New Roman" w:hAnsi="Times New Roman" w:cs="Times New Roman"/>
                <w:lang w:val="ru-RU"/>
              </w:rPr>
              <w:br w:type="textWrapping"/>
            </w:r>
            <w:r>
              <w:rPr>
                <w:rFonts w:ascii="Times New Roman" w:hAnsi="Times New Roman" w:cs="Times New Roman"/>
                <w:lang w:val="ru-RU"/>
              </w:rPr>
              <w:t>(2) Устройства защиты системы электропитания от потери         фазы и неправильной фазировки</w:t>
            </w:r>
            <w:r>
              <w:rPr>
                <w:rFonts w:ascii="Times New Roman" w:hAnsi="Times New Roman" w:cs="Times New Roman"/>
                <w:lang w:val="ru-RU"/>
              </w:rPr>
              <w:br w:type="textWrapping"/>
            </w:r>
            <w:r>
              <w:rPr>
                <w:rFonts w:ascii="Times New Roman" w:hAnsi="Times New Roman" w:cs="Times New Roman"/>
                <w:lang w:val="ru-RU"/>
              </w:rPr>
              <w:t>(3) Амортизаторы на нижней точке шахты</w:t>
            </w:r>
            <w:r>
              <w:rPr>
                <w:rFonts w:ascii="Times New Roman" w:hAnsi="Times New Roman" w:cs="Times New Roman"/>
                <w:lang w:val="ru-RU"/>
              </w:rPr>
              <w:br w:type="textWrapping"/>
            </w:r>
            <w:r>
              <w:rPr>
                <w:rFonts w:ascii="Times New Roman" w:hAnsi="Times New Roman" w:cs="Times New Roman"/>
                <w:lang w:val="ru-RU"/>
              </w:rPr>
              <w:t>(4) Устройства защиты при выходе за пределы верхнего и нижнего рабочих положений</w:t>
            </w:r>
            <w:r>
              <w:rPr>
                <w:rFonts w:ascii="Times New Roman" w:hAnsi="Times New Roman" w:cs="Times New Roman"/>
                <w:lang w:val="ru-RU"/>
              </w:rPr>
              <w:br w:type="textWrapping"/>
            </w:r>
            <w:r>
              <w:rPr>
                <w:rFonts w:ascii="Times New Roman" w:hAnsi="Times New Roman" w:cs="Times New Roman"/>
                <w:lang w:val="ru-RU"/>
              </w:rPr>
              <w:t>(5) Электрическая блокировка дверей этажа и кабины, устройство принудительного закрытия дверей. Каждая дверца этажа должна иметь один треугольный замок</w:t>
            </w:r>
            <w:r>
              <w:rPr>
                <w:rFonts w:ascii="Times New Roman" w:hAnsi="Times New Roman" w:cs="Times New Roman"/>
                <w:lang w:val="ru-RU"/>
              </w:rPr>
              <w:br w:type="textWrapping"/>
            </w:r>
            <w:r>
              <w:rPr>
                <w:rFonts w:ascii="Times New Roman" w:hAnsi="Times New Roman" w:cs="Times New Roman"/>
                <w:lang w:val="ru-RU"/>
              </w:rPr>
              <w:t>(6) В случае отключения электроэнергии или неисправности электрической системы должно быть предусмотрено медленное перемещение кабины (ручной механический способ)</w:t>
            </w:r>
            <w:r>
              <w:rPr>
                <w:rFonts w:ascii="Times New Roman" w:hAnsi="Times New Roman" w:cs="Times New Roman"/>
                <w:lang w:val="ru-RU"/>
              </w:rPr>
              <w:br w:type="textWrapping"/>
            </w:r>
            <w:r>
              <w:rPr>
                <w:rFonts w:ascii="Times New Roman" w:hAnsi="Times New Roman" w:cs="Times New Roman"/>
                <w:lang w:val="ru-RU"/>
              </w:rPr>
              <w:t>(7) Устройства защиты от перегрузки и сигнализации перегрузки</w:t>
            </w:r>
            <w:r>
              <w:rPr>
                <w:rFonts w:ascii="Times New Roman" w:hAnsi="Times New Roman" w:cs="Times New Roman"/>
                <w:lang w:val="ru-RU"/>
              </w:rPr>
              <w:br w:type="textWrapping"/>
            </w:r>
            <w:r>
              <w:rPr>
                <w:rFonts w:ascii="Times New Roman" w:hAnsi="Times New Roman" w:cs="Times New Roman"/>
                <w:lang w:val="ru-RU"/>
              </w:rPr>
              <w:t>(8) Защитное окно на крыше кабины</w:t>
            </w:r>
            <w:r>
              <w:rPr>
                <w:rFonts w:ascii="Times New Roman" w:hAnsi="Times New Roman" w:cs="Times New Roman"/>
                <w:lang w:val="ru-RU"/>
              </w:rPr>
              <w:br w:type="textWrapping"/>
            </w:r>
            <w:r>
              <w:rPr>
                <w:rFonts w:ascii="Times New Roman" w:hAnsi="Times New Roman" w:cs="Times New Roman"/>
                <w:lang w:val="ru-RU"/>
              </w:rPr>
              <w:t>(9) Телефонная связь, освещение и вентиляционно-выгрузочные устройства</w:t>
            </w:r>
            <w:r>
              <w:rPr>
                <w:rFonts w:ascii="Times New Roman" w:hAnsi="Times New Roman" w:cs="Times New Roman"/>
                <w:lang w:val="ru-RU"/>
              </w:rPr>
              <w:br w:type="textWrapping"/>
            </w:r>
            <w:r>
              <w:rPr>
                <w:rFonts w:ascii="Times New Roman" w:hAnsi="Times New Roman" w:cs="Times New Roman"/>
                <w:lang w:val="ru-RU"/>
              </w:rPr>
              <w:t>(10) Двери кабины с защитой фотоэкранами, количество лучей — 200</w:t>
            </w:r>
          </w:p>
        </w:tc>
        <w:tc>
          <w:tcPr>
            <w:tcW w:w="6778" w:type="dxa"/>
          </w:tcPr>
          <w:p>
            <w:pPr>
              <w:adjustRightInd w:val="0"/>
              <w:snapToGrid w:val="0"/>
              <w:spacing w:after="0" w:line="360" w:lineRule="auto"/>
              <w:jc w:val="both"/>
              <w:rPr>
                <w:rFonts w:ascii="楷体" w:hAnsi="楷体" w:eastAsia="楷体" w:cs="Times New Roman"/>
                <w:bCs/>
                <w:color w:val="auto"/>
                <w:sz w:val="21"/>
                <w:szCs w:val="21"/>
                <w:lang w:eastAsia="zh-CN"/>
              </w:rPr>
            </w:pPr>
            <w:r>
              <w:rPr>
                <w:rFonts w:hint="eastAsia"/>
                <w:color w:val="auto"/>
                <w:lang w:eastAsia="zh-CN"/>
              </w:rPr>
              <w:t>1.16</w:t>
            </w:r>
            <w:r>
              <w:rPr>
                <w:rFonts w:hint="eastAsia" w:ascii="楷体" w:hAnsi="楷体" w:eastAsia="楷体" w:cs="Times New Roman"/>
                <w:bCs/>
                <w:color w:val="auto"/>
                <w:sz w:val="21"/>
                <w:szCs w:val="21"/>
                <w:lang w:eastAsia="zh-CN"/>
              </w:rPr>
              <w:t>电梯应至少具有以下安全设施</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（1）超速保护装置</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（2）供电系统断相、错相保护装置</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（3）撞底缓冲装置</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（4）超越上下极限工作位置时的保护装置</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（5）层门锁与轿门电气联锁装置、强迫关门装置。每层门配三角锁一把。</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（6）停电或电气系统发生故障时，应有轿箱慢速移动措施（人工机械型）。</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（7）过载保护装置及过载报警装置</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（8）轿顶安全窗</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（9）电话通讯设施及照明设施，通风排气装置</w:t>
            </w:r>
          </w:p>
          <w:p>
            <w:pPr>
              <w:adjustRightInd w:val="0"/>
              <w:snapToGrid w:val="0"/>
              <w:spacing w:after="0" w:line="360" w:lineRule="auto"/>
              <w:rPr>
                <w:color w:val="auto"/>
                <w:lang w:eastAsia="zh-CN"/>
              </w:rPr>
            </w:pPr>
            <w:r>
              <w:rPr>
                <w:rFonts w:hint="eastAsia" w:ascii="楷体" w:hAnsi="楷体" w:eastAsia="楷体" w:cs="Times New Roman"/>
                <w:bCs/>
                <w:color w:val="auto"/>
                <w:sz w:val="21"/>
                <w:szCs w:val="21"/>
                <w:lang w:eastAsia="zh-CN"/>
              </w:rPr>
              <w:t>（10）轿门带光幕保护，光幕光束为200束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1.17 Сертификация и обслуживание лифта:</w:t>
            </w:r>
            <w:r>
              <w:rPr>
                <w:rFonts w:ascii="Times New Roman" w:hAnsi="Times New Roman" w:cs="Times New Roman"/>
                <w:lang w:val="ru-RU"/>
              </w:rPr>
              <w:br w:type="textWrapping"/>
            </w:r>
            <w:r>
              <w:rPr>
                <w:rFonts w:ascii="Times New Roman" w:hAnsi="Times New Roman" w:cs="Times New Roman"/>
                <w:lang w:val="ru-RU"/>
              </w:rPr>
              <w:t>(1) Ответственность за сертификацию и годовое обслуживание, включая замену материалов и комплектующих в период обслуживания;</w:t>
            </w:r>
            <w:r>
              <w:rPr>
                <w:rFonts w:ascii="Times New Roman" w:hAnsi="Times New Roman" w:cs="Times New Roman"/>
                <w:lang w:val="ru-RU"/>
              </w:rPr>
              <w:br w:type="textWrapping"/>
            </w:r>
            <w:r>
              <w:rPr>
                <w:rFonts w:ascii="Times New Roman" w:hAnsi="Times New Roman" w:cs="Times New Roman"/>
                <w:lang w:val="ru-RU"/>
              </w:rPr>
              <w:t>(2) Предоставление технической документации, необходимой для монтажа, наладки, пробного запуска, испытаний производительности установки и эксплуатации, в том числе 1 электронная копия и 4 бумажные копии; проведение обучения персонала заказчика по принципам работы оборудования, его конструкции, методам эксплуатации и технического обслуживания, выявлению неисправностей и действиям при авариях, с предоставлением обучающих презентаций (</w:t>
            </w:r>
            <w:r>
              <w:rPr>
                <w:rFonts w:ascii="Times New Roman" w:hAnsi="Times New Roman" w:cs="Times New Roman"/>
              </w:rPr>
              <w:t>PPT</w:t>
            </w:r>
            <w:r>
              <w:rPr>
                <w:rFonts w:ascii="Times New Roman" w:hAnsi="Times New Roman" w:cs="Times New Roman"/>
                <w:lang w:val="ru-RU"/>
              </w:rPr>
              <w:t>) для дальнейшего обучения персонала заказчика.</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1.17电梯取证、维护</w:t>
            </w:r>
          </w:p>
          <w:p>
            <w:pPr>
              <w:numPr>
                <w:ilvl w:val="255"/>
                <w:numId w:val="0"/>
              </w:numPr>
              <w:adjustRightInd w:val="0"/>
              <w:snapToGrid w:val="0"/>
              <w:spacing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（1）负责取证及一年的维保，负责维保期间的材料与配件更换；</w:t>
            </w:r>
          </w:p>
          <w:p>
            <w:pPr>
              <w:adjustRightInd w:val="0"/>
              <w:snapToGrid w:val="0"/>
              <w:spacing w:after="0" w:line="360" w:lineRule="auto"/>
              <w:rPr>
                <w:color w:val="auto"/>
                <w:lang w:eastAsia="zh-CN"/>
              </w:rPr>
            </w:pPr>
            <w:r>
              <w:rPr>
                <w:rFonts w:hint="eastAsia" w:ascii="楷体" w:hAnsi="楷体" w:eastAsia="楷体" w:cs="Times New Roman"/>
                <w:bCs/>
                <w:color w:val="auto"/>
                <w:sz w:val="21"/>
                <w:szCs w:val="21"/>
                <w:lang w:eastAsia="zh-CN"/>
              </w:rPr>
              <w:t>（2）提供施工、调试、试运、机组性能试验和运行维护所需的技术资料，其中电子版1份、纸质版4份；对采购方的</w:t>
            </w:r>
            <w:bookmarkStart w:id="16" w:name="_GoBack"/>
            <w:bookmarkEnd w:id="16"/>
            <w:r>
              <w:rPr>
                <w:rFonts w:hint="eastAsia" w:ascii="楷体" w:hAnsi="楷体" w:eastAsia="楷体" w:cs="Times New Roman"/>
                <w:bCs/>
                <w:color w:val="auto"/>
                <w:sz w:val="21"/>
                <w:szCs w:val="21"/>
                <w:lang w:eastAsia="zh-CN"/>
              </w:rPr>
              <w:t>生产人员进行授课，讲解设备系统原理、结构及运行维护方法、故障判断、事故处理等，并提交培训用PPT，以便采购方后续人员学习。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numPr>
                <w:ilvl w:val="0"/>
                <w:numId w:val="8"/>
              </w:numPr>
              <w:spacing w:after="0" w:line="240" w:lineRule="auto"/>
              <w:rPr>
                <w:rFonts w:ascii="Times New Roman" w:hAnsi="Times New Roman" w:eastAsia="Times New Roman" w:cs="Times New Roman"/>
                <w:szCs w:val="24"/>
                <w:lang w:eastAsia="zh-CN"/>
              </w:rPr>
            </w:pPr>
            <w:r>
              <w:rPr>
                <w:rFonts w:ascii="Times New Roman" w:hAnsi="Times New Roman" w:eastAsia="Times New Roman" w:cs="Times New Roman"/>
                <w:szCs w:val="24"/>
                <w:lang w:eastAsia="zh-CN"/>
              </w:rPr>
              <w:t>Основные параметры лифта</w:t>
            </w:r>
          </w:p>
        </w:tc>
        <w:tc>
          <w:tcPr>
            <w:tcW w:w="6778" w:type="dxa"/>
          </w:tcPr>
          <w:p>
            <w:pPr>
              <w:adjustRightInd w:val="0"/>
              <w:snapToGrid w:val="0"/>
              <w:spacing w:after="0" w:line="360" w:lineRule="auto"/>
              <w:jc w:val="both"/>
              <w:rPr>
                <w:rFonts w:ascii="楷体" w:hAnsi="楷体" w:eastAsia="楷体" w:cs="Times New Roman"/>
                <w:bCs/>
                <w:color w:val="auto"/>
                <w:szCs w:val="24"/>
                <w:lang w:eastAsia="zh-CN"/>
              </w:rPr>
            </w:pPr>
            <w:r>
              <w:rPr>
                <w:rFonts w:hint="eastAsia" w:ascii="楷体" w:hAnsi="楷体" w:eastAsia="楷体" w:cs="Times New Roman"/>
                <w:bCs/>
                <w:color w:val="auto"/>
                <w:szCs w:val="24"/>
                <w:lang w:eastAsia="zh-CN"/>
              </w:rPr>
              <w:t>2.电梯主要参数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adjustRightInd w:val="0"/>
              <w:snapToGrid w:val="0"/>
              <w:spacing w:after="0"/>
              <w:rPr>
                <w:rFonts w:ascii="Times New Roman" w:hAnsi="Times New Roman" w:eastAsia="楷体" w:cs="Times New Roman"/>
                <w:bCs/>
                <w:color w:val="FF0000"/>
                <w:sz w:val="21"/>
                <w:szCs w:val="21"/>
                <w:lang w:val="ru-RU" w:eastAsia="zh-CN"/>
              </w:rPr>
            </w:pPr>
            <w:r>
              <w:rPr>
                <w:rFonts w:ascii="Times New Roman" w:hAnsi="Times New Roman" w:cs="Times New Roman"/>
                <w:lang w:val="ru-RU"/>
              </w:rPr>
              <w:t>Количество: 1 единица</w:t>
            </w:r>
            <w:r>
              <w:rPr>
                <w:rFonts w:ascii="Times New Roman" w:hAnsi="Times New Roman" w:cs="Times New Roman"/>
                <w:lang w:val="ru-RU"/>
              </w:rPr>
              <w:br w:type="textWrapping"/>
            </w:r>
            <w:r>
              <w:rPr>
                <w:rFonts w:ascii="Times New Roman" w:hAnsi="Times New Roman" w:cs="Times New Roman"/>
                <w:lang w:val="ru-RU"/>
              </w:rPr>
              <w:t>Номинальная грузоподъемность: 1000 кг, 13 человек</w:t>
            </w:r>
            <w:r>
              <w:rPr>
                <w:rFonts w:ascii="Times New Roman" w:hAnsi="Times New Roman" w:cs="Times New Roman"/>
                <w:lang w:val="ru-RU"/>
              </w:rPr>
              <w:br w:type="textWrapping"/>
            </w:r>
            <w:r>
              <w:rPr>
                <w:rFonts w:ascii="Times New Roman" w:hAnsi="Times New Roman" w:cs="Times New Roman"/>
                <w:lang w:val="ru-RU"/>
              </w:rPr>
              <w:t>Номинальная скорость: 1,5 м/с</w:t>
            </w:r>
            <w:r>
              <w:rPr>
                <w:rFonts w:ascii="Times New Roman" w:hAnsi="Times New Roman" w:cs="Times New Roman"/>
                <w:lang w:val="ru-RU"/>
              </w:rPr>
              <w:br w:type="textWrapping"/>
            </w:r>
            <w:r>
              <w:rPr>
                <w:rFonts w:ascii="Times New Roman" w:hAnsi="Times New Roman" w:cs="Times New Roman"/>
                <w:lang w:val="ru-RU"/>
              </w:rPr>
              <w:t>Способ управления: Без машиниста, полностью компьютерное управление с регулированием частоты и напряжения переменного тока (</w:t>
            </w:r>
            <w:r>
              <w:rPr>
                <w:rFonts w:ascii="Times New Roman" w:hAnsi="Times New Roman" w:cs="Times New Roman"/>
              </w:rPr>
              <w:t>V</w:t>
            </w:r>
            <w:r>
              <w:rPr>
                <w:rFonts w:hint="eastAsia" w:ascii="Times New Roman" w:hAnsi="Times New Roman" w:eastAsia="宋体" w:cs="Times New Roman"/>
                <w:lang w:val="en-US" w:eastAsia="zh-CN"/>
              </w:rPr>
              <w:t>W</w:t>
            </w:r>
            <w:r>
              <w:rPr>
                <w:rFonts w:ascii="Times New Roman" w:hAnsi="Times New Roman" w:cs="Times New Roman"/>
              </w:rPr>
              <w:t>F</w:t>
            </w:r>
            <w:r>
              <w:rPr>
                <w:rFonts w:ascii="Times New Roman" w:hAnsi="Times New Roman" w:cs="Times New Roman"/>
                <w:lang w:val="ru-RU"/>
              </w:rPr>
              <w:t>)</w:t>
            </w:r>
            <w:r>
              <w:rPr>
                <w:rFonts w:ascii="Times New Roman" w:hAnsi="Times New Roman" w:cs="Times New Roman"/>
                <w:lang w:val="ru-RU"/>
              </w:rPr>
              <w:br w:type="textWrapping"/>
            </w:r>
            <w:r>
              <w:rPr>
                <w:rFonts w:ascii="Times New Roman" w:hAnsi="Times New Roman" w:cs="Times New Roman"/>
                <w:lang w:val="ru-RU"/>
              </w:rPr>
              <w:t xml:space="preserve">Способ привода: </w:t>
            </w:r>
            <w:r>
              <w:rPr>
                <w:rFonts w:ascii="Times New Roman" w:hAnsi="Times New Roman" w:cs="Times New Roman"/>
              </w:rPr>
              <w:t>V</w:t>
            </w:r>
            <w:r>
              <w:rPr>
                <w:rFonts w:hint="eastAsia" w:ascii="Times New Roman" w:hAnsi="Times New Roman" w:eastAsia="宋体" w:cs="Times New Roman"/>
                <w:lang w:val="en-US" w:eastAsia="zh-CN"/>
              </w:rPr>
              <w:t>W</w:t>
            </w:r>
            <w:r>
              <w:rPr>
                <w:rFonts w:ascii="Times New Roman" w:hAnsi="Times New Roman" w:cs="Times New Roman"/>
              </w:rPr>
              <w:t>F</w:t>
            </w:r>
            <w:r>
              <w:rPr>
                <w:rFonts w:ascii="Times New Roman" w:hAnsi="Times New Roman" w:cs="Times New Roman"/>
                <w:lang w:val="ru-RU"/>
              </w:rPr>
              <w:br w:type="textWrapping"/>
            </w:r>
            <w:r>
              <w:rPr>
                <w:rFonts w:ascii="Times New Roman" w:hAnsi="Times New Roman" w:cs="Times New Roman"/>
                <w:lang w:val="ru-RU"/>
              </w:rPr>
              <w:t>Тип кабины сверху: Нержавеющая сталь</w:t>
            </w:r>
            <w:r>
              <w:rPr>
                <w:rFonts w:ascii="Times New Roman" w:hAnsi="Times New Roman" w:cs="Times New Roman"/>
                <w:lang w:val="ru-RU"/>
              </w:rPr>
              <w:br w:type="textWrapping"/>
            </w:r>
            <w:r>
              <w:rPr>
                <w:rFonts w:ascii="Times New Roman" w:hAnsi="Times New Roman" w:cs="Times New Roman"/>
                <w:lang w:val="ru-RU"/>
              </w:rPr>
              <w:t>Базовая станция: 0,000 м (первый этаж)</w:t>
            </w:r>
            <w:r>
              <w:rPr>
                <w:rFonts w:ascii="Times New Roman" w:hAnsi="Times New Roman" w:cs="Times New Roman"/>
                <w:lang w:val="ru-RU"/>
              </w:rPr>
              <w:br w:type="textWrapping"/>
            </w:r>
            <w:r>
              <w:rPr>
                <w:rFonts w:ascii="Times New Roman" w:hAnsi="Times New Roman" w:cs="Times New Roman"/>
                <w:lang w:val="ru-RU"/>
              </w:rPr>
              <w:t>Точность остановки: ±5 мм</w:t>
            </w:r>
            <w:r>
              <w:rPr>
                <w:rFonts w:ascii="Times New Roman" w:hAnsi="Times New Roman" w:cs="Times New Roman"/>
                <w:lang w:val="ru-RU"/>
              </w:rPr>
              <w:br w:type="textWrapping"/>
            </w:r>
            <w:r>
              <w:rPr>
                <w:rFonts w:ascii="Times New Roman" w:hAnsi="Times New Roman" w:cs="Times New Roman"/>
                <w:lang w:val="ru-RU"/>
              </w:rPr>
              <w:t xml:space="preserve">Высота подъема: </w:t>
            </w:r>
            <w:r>
              <w:rPr>
                <w:rFonts w:hint="eastAsia" w:ascii="Times New Roman" w:hAnsi="Times New Roman" w:eastAsia="宋体" w:cs="Times New Roman"/>
                <w:lang w:val="en-US" w:eastAsia="zh-CN"/>
              </w:rPr>
              <w:t>9</w:t>
            </w:r>
            <w:r>
              <w:rPr>
                <w:rFonts w:ascii="Times New Roman" w:hAnsi="Times New Roman" w:cs="Times New Roman"/>
                <w:lang w:val="ru-RU"/>
              </w:rPr>
              <w:t>,</w:t>
            </w:r>
            <w:r>
              <w:rPr>
                <w:rFonts w:hint="eastAsia" w:ascii="Times New Roman" w:hAnsi="Times New Roman" w:eastAsia="宋体" w:cs="Times New Roman"/>
                <w:lang w:val="en-US" w:eastAsia="zh-CN"/>
              </w:rPr>
              <w:t>3</w:t>
            </w:r>
            <w:r>
              <w:rPr>
                <w:rFonts w:ascii="Times New Roman" w:hAnsi="Times New Roman" w:cs="Times New Roman"/>
                <w:lang w:val="ru-RU"/>
              </w:rPr>
              <w:t>0 м</w:t>
            </w:r>
            <w:r>
              <w:rPr>
                <w:rFonts w:ascii="Times New Roman" w:hAnsi="Times New Roman" w:cs="Times New Roman"/>
                <w:lang w:val="ru-RU"/>
              </w:rPr>
              <w:br w:type="textWrapping"/>
            </w:r>
            <w:r>
              <w:rPr>
                <w:rFonts w:ascii="Times New Roman" w:hAnsi="Times New Roman" w:cs="Times New Roman"/>
                <w:lang w:val="ru-RU"/>
              </w:rPr>
              <w:t>Высота верхнего этажа шахты лифта: 1</w:t>
            </w:r>
            <w:r>
              <w:rPr>
                <w:rFonts w:hint="eastAsia" w:ascii="Times New Roman" w:hAnsi="Times New Roman" w:eastAsia="宋体" w:cs="Times New Roman"/>
                <w:lang w:val="en-US" w:eastAsia="zh-CN"/>
              </w:rPr>
              <w:t>3</w:t>
            </w:r>
            <w:r>
              <w:rPr>
                <w:rFonts w:ascii="Times New Roman" w:hAnsi="Times New Roman" w:cs="Times New Roman"/>
                <w:lang w:val="ru-RU"/>
              </w:rPr>
              <w:t>,</w:t>
            </w:r>
            <w:r>
              <w:rPr>
                <w:rFonts w:hint="eastAsia" w:ascii="Times New Roman" w:hAnsi="Times New Roman" w:eastAsia="宋体" w:cs="Times New Roman"/>
                <w:lang w:val="en-US" w:eastAsia="zh-CN"/>
              </w:rPr>
              <w:t>5</w:t>
            </w:r>
            <w:r>
              <w:rPr>
                <w:rFonts w:ascii="Times New Roman" w:hAnsi="Times New Roman" w:cs="Times New Roman"/>
                <w:lang w:val="ru-RU"/>
              </w:rPr>
              <w:t>0 м</w:t>
            </w:r>
            <w:r>
              <w:rPr>
                <w:rFonts w:ascii="Times New Roman" w:hAnsi="Times New Roman" w:cs="Times New Roman"/>
                <w:lang w:val="ru-RU"/>
              </w:rPr>
              <w:br w:type="textWrapping"/>
            </w:r>
            <w:r>
              <w:rPr>
                <w:rFonts w:ascii="Times New Roman" w:hAnsi="Times New Roman" w:cs="Times New Roman"/>
                <w:highlight w:val="none"/>
                <w:lang w:val="ru-RU"/>
              </w:rPr>
              <w:t>Габариты кабины (Ш × Г × В): 1</w:t>
            </w:r>
            <w:r>
              <w:rPr>
                <w:rFonts w:hint="eastAsia" w:ascii="Times New Roman" w:hAnsi="Times New Roman" w:eastAsia="宋体" w:cs="Times New Roman"/>
                <w:highlight w:val="none"/>
                <w:lang w:val="en-US" w:eastAsia="zh-CN"/>
              </w:rPr>
              <w:t>8</w:t>
            </w:r>
            <w:r>
              <w:rPr>
                <w:rFonts w:ascii="Times New Roman" w:hAnsi="Times New Roman" w:cs="Times New Roman"/>
                <w:highlight w:val="none"/>
                <w:lang w:val="ru-RU"/>
              </w:rPr>
              <w:t>00 мм × 1</w:t>
            </w:r>
            <w:r>
              <w:rPr>
                <w:rFonts w:hint="eastAsia" w:ascii="Times New Roman" w:hAnsi="Times New Roman" w:eastAsia="宋体" w:cs="Times New Roman"/>
                <w:highlight w:val="none"/>
                <w:lang w:val="en-US" w:eastAsia="zh-CN"/>
              </w:rPr>
              <w:t>3</w:t>
            </w:r>
            <w:r>
              <w:rPr>
                <w:rFonts w:ascii="Times New Roman" w:hAnsi="Times New Roman" w:cs="Times New Roman"/>
                <w:highlight w:val="none"/>
                <w:lang w:val="ru-RU"/>
              </w:rPr>
              <w:t>00 мм × 2400 мм</w:t>
            </w:r>
            <w:r>
              <w:rPr>
                <w:rFonts w:ascii="Times New Roman" w:hAnsi="Times New Roman" w:cs="Times New Roman"/>
                <w:lang w:val="ru-RU"/>
              </w:rPr>
              <w:br w:type="textWrapping"/>
            </w:r>
            <w:r>
              <w:rPr>
                <w:rFonts w:ascii="Times New Roman" w:hAnsi="Times New Roman" w:cs="Times New Roman"/>
                <w:lang w:val="ru-RU"/>
              </w:rPr>
              <w:t>Способ открывания дверей: Двухстворчатые двери с центральным раздвижением, привод с регулированием частоты и напряжения переменного тока</w:t>
            </w:r>
            <w:r>
              <w:rPr>
                <w:rFonts w:ascii="Times New Roman" w:hAnsi="Times New Roman" w:cs="Times New Roman"/>
                <w:lang w:val="ru-RU"/>
              </w:rPr>
              <w:br w:type="textWrapping"/>
            </w:r>
            <w:r>
              <w:rPr>
                <w:rFonts w:ascii="Times New Roman" w:hAnsi="Times New Roman" w:cs="Times New Roman"/>
                <w:lang w:val="ru-RU"/>
              </w:rPr>
              <w:t>Размеры дверей этажа (ширина проема × высота проема): 1</w:t>
            </w:r>
            <w:r>
              <w:rPr>
                <w:rFonts w:hint="eastAsia" w:ascii="Times New Roman" w:hAnsi="Times New Roman" w:eastAsia="宋体" w:cs="Times New Roman"/>
                <w:lang w:val="en-US" w:eastAsia="zh-CN"/>
              </w:rPr>
              <w:t>1</w:t>
            </w:r>
            <w:r>
              <w:rPr>
                <w:rFonts w:ascii="Times New Roman" w:hAnsi="Times New Roman" w:cs="Times New Roman"/>
                <w:lang w:val="ru-RU"/>
              </w:rPr>
              <w:t>00 мм × 2</w:t>
            </w:r>
            <w:r>
              <w:rPr>
                <w:rFonts w:hint="eastAsia" w:ascii="Times New Roman" w:hAnsi="Times New Roman" w:eastAsia="宋体" w:cs="Times New Roman"/>
                <w:lang w:val="en-US" w:eastAsia="zh-CN"/>
              </w:rPr>
              <w:t>2</w:t>
            </w:r>
            <w:r>
              <w:rPr>
                <w:rFonts w:ascii="Times New Roman" w:hAnsi="Times New Roman" w:cs="Times New Roman"/>
                <w:lang w:val="ru-RU"/>
              </w:rPr>
              <w:t>00 мм, уточняется по фактическим размерам на объекте</w:t>
            </w:r>
            <w:r>
              <w:rPr>
                <w:rFonts w:ascii="Times New Roman" w:hAnsi="Times New Roman" w:cs="Times New Roman"/>
                <w:lang w:val="ru-RU"/>
              </w:rPr>
              <w:br w:type="textWrapping"/>
            </w:r>
            <w:r>
              <w:rPr>
                <w:rFonts w:ascii="Times New Roman" w:hAnsi="Times New Roman" w:cs="Times New Roman"/>
                <w:lang w:val="ru-RU"/>
              </w:rPr>
              <w:t>Количество этажей остановки: Обслуживает 3 этажа, остановки на 1, 2, 3 этажах; двери лифта выходят в одну сторону; отметки этажей: ±0,000 м; 5,</w:t>
            </w:r>
            <w:r>
              <w:rPr>
                <w:rFonts w:hint="eastAsia" w:ascii="Times New Roman" w:hAnsi="Times New Roman" w:eastAsia="宋体" w:cs="Times New Roman"/>
                <w:lang w:val="en-US" w:eastAsia="zh-CN"/>
              </w:rPr>
              <w:t>1</w:t>
            </w:r>
            <w:r>
              <w:rPr>
                <w:rFonts w:ascii="Times New Roman" w:hAnsi="Times New Roman" w:cs="Times New Roman"/>
                <w:lang w:val="ru-RU"/>
              </w:rPr>
              <w:t xml:space="preserve">00 м; </w:t>
            </w:r>
            <w:r>
              <w:rPr>
                <w:rFonts w:hint="eastAsia" w:ascii="Times New Roman" w:hAnsi="Times New Roman" w:eastAsia="宋体" w:cs="Times New Roman"/>
                <w:lang w:val="en-US" w:eastAsia="zh-CN"/>
              </w:rPr>
              <w:t>9</w:t>
            </w:r>
            <w:r>
              <w:rPr>
                <w:rFonts w:ascii="Times New Roman" w:hAnsi="Times New Roman" w:cs="Times New Roman"/>
                <w:lang w:val="ru-RU"/>
              </w:rPr>
              <w:t>,</w:t>
            </w:r>
            <w:r>
              <w:rPr>
                <w:rFonts w:hint="eastAsia" w:ascii="Times New Roman" w:hAnsi="Times New Roman" w:eastAsia="宋体" w:cs="Times New Roman"/>
                <w:lang w:val="en-US" w:eastAsia="zh-CN"/>
              </w:rPr>
              <w:t>3</w:t>
            </w:r>
            <w:r>
              <w:rPr>
                <w:rFonts w:ascii="Times New Roman" w:hAnsi="Times New Roman" w:cs="Times New Roman"/>
                <w:lang w:val="ru-RU"/>
              </w:rPr>
              <w:t>00 м</w:t>
            </w:r>
            <w:r>
              <w:rPr>
                <w:rFonts w:ascii="Times New Roman" w:hAnsi="Times New Roman" w:cs="Times New Roman"/>
                <w:lang w:val="ru-RU"/>
              </w:rPr>
              <w:br w:type="textWrapping"/>
            </w:r>
            <w:r>
              <w:rPr>
                <w:rFonts w:ascii="Times New Roman" w:hAnsi="Times New Roman" w:cs="Times New Roman"/>
                <w:lang w:val="ru-RU"/>
              </w:rPr>
              <w:t xml:space="preserve">Размеры шахты (чистый внутренний размер): </w:t>
            </w:r>
            <w:r>
              <w:rPr>
                <w:rFonts w:hint="eastAsia" w:ascii="Times New Roman" w:hAnsi="Times New Roman" w:eastAsia="宋体" w:cs="Times New Roman"/>
                <w:lang w:val="en-US" w:eastAsia="zh-CN"/>
              </w:rPr>
              <w:t>22</w:t>
            </w:r>
            <w:r>
              <w:rPr>
                <w:rFonts w:ascii="Times New Roman" w:hAnsi="Times New Roman" w:cs="Times New Roman"/>
                <w:lang w:val="ru-RU"/>
              </w:rPr>
              <w:t xml:space="preserve">00 мм (ширина) × </w:t>
            </w:r>
            <w:r>
              <w:rPr>
                <w:rFonts w:hint="eastAsia" w:ascii="Times New Roman" w:hAnsi="Times New Roman" w:eastAsia="宋体" w:cs="Times New Roman"/>
                <w:lang w:val="en-US" w:eastAsia="zh-CN"/>
              </w:rPr>
              <w:t>2</w:t>
            </w:r>
            <w:r>
              <w:rPr>
                <w:rFonts w:ascii="Times New Roman" w:hAnsi="Times New Roman" w:cs="Times New Roman"/>
                <w:lang w:val="ru-RU"/>
              </w:rPr>
              <w:t>400 мм (глубина)</w:t>
            </w:r>
            <w:r>
              <w:rPr>
                <w:rFonts w:ascii="Times New Roman" w:hAnsi="Times New Roman" w:cs="Times New Roman"/>
                <w:lang w:val="ru-RU"/>
              </w:rPr>
              <w:br w:type="textWrapping"/>
            </w:r>
            <w:r>
              <w:rPr>
                <w:rFonts w:ascii="Times New Roman" w:hAnsi="Times New Roman" w:cs="Times New Roman"/>
                <w:lang w:val="ru-RU"/>
              </w:rPr>
              <w:t>Глубина машинного колодца: 1600 мм (предварительно)</w:t>
            </w:r>
            <w:r>
              <w:rPr>
                <w:rFonts w:ascii="Times New Roman" w:hAnsi="Times New Roman" w:cs="Times New Roman"/>
                <w:lang w:val="ru-RU"/>
              </w:rPr>
              <w:br w:type="textWrapping"/>
            </w:r>
            <w:r>
              <w:rPr>
                <w:rFonts w:ascii="Times New Roman" w:hAnsi="Times New Roman" w:cs="Times New Roman"/>
                <w:lang w:val="ru-RU"/>
              </w:rPr>
              <w:t>Электропитание лифта: 380 В, 50 Гц, 3 фазы 4 провода</w:t>
            </w:r>
            <w:r>
              <w:rPr>
                <w:rFonts w:ascii="Times New Roman" w:hAnsi="Times New Roman" w:cs="Times New Roman"/>
                <w:lang w:val="ru-RU"/>
              </w:rPr>
              <w:br w:type="textWrapping"/>
            </w:r>
            <w:r>
              <w:rPr>
                <w:rFonts w:ascii="Times New Roman" w:hAnsi="Times New Roman" w:cs="Times New Roman"/>
                <w:lang w:val="ru-RU"/>
              </w:rPr>
              <w:t>Электропитание освещения: 220 В, 50 Гц</w:t>
            </w:r>
            <w:r>
              <w:rPr>
                <w:rFonts w:ascii="Times New Roman" w:hAnsi="Times New Roman" w:cs="Times New Roman"/>
                <w:lang w:val="ru-RU"/>
              </w:rPr>
              <w:br w:type="textWrapping"/>
            </w:r>
            <w:r>
              <w:rPr>
                <w:rFonts w:ascii="Times New Roman" w:hAnsi="Times New Roman" w:cs="Times New Roman"/>
                <w:lang w:val="ru-RU"/>
              </w:rPr>
              <w:t>Подъемное оборудование лифта установлено на верхней части шахты лифта, герметично.</w:t>
            </w:r>
          </w:p>
        </w:tc>
        <w:tc>
          <w:tcPr>
            <w:tcW w:w="6778" w:type="dxa"/>
          </w:tcPr>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数量：1台；</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额定容量：1000kg，人数13人；</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额定速度：1.5m/s；</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操纵（控制）方式：无司机操作，交流变频变压调速全电脑控制（VVVF）；</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拖动方式：VVVF；</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轿顶型式：不锈钢；</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基站设置：0.000米（第一层）；</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平层精度：</w:t>
            </w:r>
            <w:r>
              <w:rPr>
                <w:rFonts w:hint="eastAsia" w:ascii="楷体" w:hAnsi="楷体" w:eastAsia="楷体" w:cs="Times New Roman"/>
                <w:bCs/>
                <w:color w:val="auto"/>
                <w:sz w:val="21"/>
                <w:szCs w:val="21"/>
                <w:lang w:eastAsia="zh-CN"/>
              </w:rPr>
              <w:sym w:font="Symbol" w:char="F0B1"/>
            </w:r>
            <w:r>
              <w:rPr>
                <w:rFonts w:hint="eastAsia" w:ascii="楷体" w:hAnsi="楷体" w:eastAsia="楷体" w:cs="Times New Roman"/>
                <w:bCs/>
                <w:color w:val="auto"/>
                <w:sz w:val="21"/>
                <w:szCs w:val="21"/>
                <w:lang w:eastAsia="zh-CN"/>
              </w:rPr>
              <w:t>5mm；</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提升高度：</w:t>
            </w:r>
            <w:r>
              <w:rPr>
                <w:rFonts w:hint="eastAsia" w:ascii="楷体" w:hAnsi="楷体" w:eastAsia="楷体" w:cs="Times New Roman"/>
                <w:bCs/>
                <w:color w:val="auto"/>
                <w:sz w:val="21"/>
                <w:szCs w:val="21"/>
                <w:lang w:val="en-US" w:eastAsia="zh-CN"/>
              </w:rPr>
              <w:t>9</w:t>
            </w:r>
            <w:r>
              <w:rPr>
                <w:rFonts w:hint="eastAsia" w:ascii="楷体" w:hAnsi="楷体" w:eastAsia="楷体" w:cs="Times New Roman"/>
                <w:bCs/>
                <w:color w:val="auto"/>
                <w:sz w:val="21"/>
                <w:szCs w:val="21"/>
                <w:lang w:eastAsia="zh-CN"/>
              </w:rPr>
              <w:t>.</w:t>
            </w:r>
            <w:r>
              <w:rPr>
                <w:rFonts w:hint="eastAsia" w:ascii="楷体" w:hAnsi="楷体" w:eastAsia="楷体" w:cs="Times New Roman"/>
                <w:bCs/>
                <w:color w:val="auto"/>
                <w:sz w:val="21"/>
                <w:szCs w:val="21"/>
                <w:lang w:val="en-US" w:eastAsia="zh-CN"/>
              </w:rPr>
              <w:t>3</w:t>
            </w:r>
            <w:r>
              <w:rPr>
                <w:rFonts w:hint="eastAsia" w:ascii="楷体" w:hAnsi="楷体" w:eastAsia="楷体" w:cs="Times New Roman"/>
                <w:bCs/>
                <w:color w:val="auto"/>
                <w:sz w:val="21"/>
                <w:szCs w:val="21"/>
                <w:lang w:eastAsia="zh-CN"/>
              </w:rPr>
              <w:t>0m；</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电梯井道顶标高：1</w:t>
            </w:r>
            <w:r>
              <w:rPr>
                <w:rFonts w:hint="eastAsia" w:ascii="楷体" w:hAnsi="楷体" w:eastAsia="楷体" w:cs="Times New Roman"/>
                <w:bCs/>
                <w:color w:val="auto"/>
                <w:sz w:val="21"/>
                <w:szCs w:val="21"/>
                <w:lang w:val="en-US" w:eastAsia="zh-CN"/>
              </w:rPr>
              <w:t>3</w:t>
            </w:r>
            <w:r>
              <w:rPr>
                <w:rFonts w:hint="eastAsia" w:ascii="楷体" w:hAnsi="楷体" w:eastAsia="楷体" w:cs="Times New Roman"/>
                <w:bCs/>
                <w:color w:val="auto"/>
                <w:sz w:val="21"/>
                <w:szCs w:val="21"/>
                <w:lang w:eastAsia="zh-CN"/>
              </w:rPr>
              <w:t>.</w:t>
            </w:r>
            <w:r>
              <w:rPr>
                <w:rFonts w:hint="eastAsia" w:ascii="楷体" w:hAnsi="楷体" w:eastAsia="楷体" w:cs="Times New Roman"/>
                <w:bCs/>
                <w:color w:val="auto"/>
                <w:sz w:val="21"/>
                <w:szCs w:val="21"/>
                <w:lang w:val="en-US" w:eastAsia="zh-CN"/>
              </w:rPr>
              <w:t>5</w:t>
            </w:r>
            <w:r>
              <w:rPr>
                <w:rFonts w:hint="eastAsia" w:ascii="楷体" w:hAnsi="楷体" w:eastAsia="楷体" w:cs="Times New Roman"/>
                <w:bCs/>
                <w:color w:val="auto"/>
                <w:sz w:val="21"/>
                <w:szCs w:val="21"/>
                <w:lang w:eastAsia="zh-CN"/>
              </w:rPr>
              <w:t>0m；</w:t>
            </w:r>
          </w:p>
          <w:p>
            <w:pPr>
              <w:adjustRightInd w:val="0"/>
              <w:snapToGrid w:val="0"/>
              <w:spacing w:after="0" w:line="360" w:lineRule="auto"/>
              <w:rPr>
                <w:rFonts w:ascii="楷体" w:hAnsi="楷体" w:eastAsia="楷体" w:cs="Times New Roman"/>
                <w:bCs/>
                <w:color w:val="auto"/>
                <w:sz w:val="21"/>
                <w:szCs w:val="21"/>
                <w:highlight w:val="none"/>
                <w:lang w:eastAsia="zh-CN"/>
              </w:rPr>
            </w:pPr>
            <w:r>
              <w:rPr>
                <w:rFonts w:hint="eastAsia" w:ascii="楷体" w:hAnsi="楷体" w:eastAsia="楷体" w:cs="Times New Roman"/>
                <w:bCs/>
                <w:color w:val="auto"/>
                <w:sz w:val="21"/>
                <w:szCs w:val="21"/>
                <w:highlight w:val="none"/>
                <w:lang w:eastAsia="zh-CN"/>
              </w:rPr>
              <w:t>轿厢规格（宽×深×高）：</w:t>
            </w:r>
            <w:r>
              <w:rPr>
                <w:rFonts w:ascii="Times New Roman" w:hAnsi="Times New Roman" w:cs="Times New Roman"/>
                <w:color w:val="auto"/>
                <w:highlight w:val="none"/>
                <w:lang w:val="ru-RU"/>
              </w:rPr>
              <w:t>1</w:t>
            </w:r>
            <w:r>
              <w:rPr>
                <w:rFonts w:hint="eastAsia" w:ascii="Times New Roman" w:hAnsi="Times New Roman" w:eastAsia="宋体" w:cs="Times New Roman"/>
                <w:color w:val="auto"/>
                <w:highlight w:val="none"/>
                <w:lang w:val="en-US" w:eastAsia="zh-CN"/>
              </w:rPr>
              <w:t>8</w:t>
            </w:r>
            <w:r>
              <w:rPr>
                <w:rFonts w:ascii="Times New Roman" w:hAnsi="Times New Roman" w:cs="Times New Roman"/>
                <w:color w:val="auto"/>
                <w:highlight w:val="none"/>
                <w:lang w:val="ru-RU"/>
              </w:rPr>
              <w:t>00 мм × 1</w:t>
            </w:r>
            <w:r>
              <w:rPr>
                <w:rFonts w:hint="eastAsia" w:ascii="Times New Roman" w:hAnsi="Times New Roman" w:eastAsia="宋体" w:cs="Times New Roman"/>
                <w:color w:val="auto"/>
                <w:highlight w:val="none"/>
                <w:lang w:val="en-US" w:eastAsia="zh-CN"/>
              </w:rPr>
              <w:t>3</w:t>
            </w:r>
            <w:r>
              <w:rPr>
                <w:rFonts w:ascii="Times New Roman" w:hAnsi="Times New Roman" w:cs="Times New Roman"/>
                <w:color w:val="auto"/>
                <w:highlight w:val="none"/>
                <w:lang w:val="ru-RU"/>
              </w:rPr>
              <w:t>00 мм × 2400 мм</w:t>
            </w:r>
            <w:r>
              <w:rPr>
                <w:rFonts w:hint="eastAsia" w:ascii="楷体" w:hAnsi="楷体" w:eastAsia="楷体" w:cs="Times New Roman"/>
                <w:bCs/>
                <w:color w:val="auto"/>
                <w:sz w:val="21"/>
                <w:szCs w:val="21"/>
                <w:highlight w:val="none"/>
                <w:lang w:eastAsia="zh-CN"/>
              </w:rPr>
              <w:t>；</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开门方式：双扇中分、交流变频变压调速驱动；</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层门尺寸（门洞宽×门洞高）：</w:t>
            </w:r>
            <w:r>
              <w:rPr>
                <w:rFonts w:hint="eastAsia" w:ascii="楷体" w:hAnsi="楷体" w:eastAsia="楷体" w:cs="Times New Roman"/>
                <w:bCs/>
                <w:color w:val="auto"/>
                <w:sz w:val="21"/>
                <w:szCs w:val="21"/>
                <w:highlight w:val="none"/>
                <w:lang w:val="en-US" w:eastAsia="zh-CN"/>
              </w:rPr>
              <w:t>11</w:t>
            </w:r>
            <w:r>
              <w:rPr>
                <w:rFonts w:hint="eastAsia" w:ascii="楷体" w:hAnsi="楷体" w:eastAsia="楷体" w:cs="Times New Roman"/>
                <w:bCs/>
                <w:color w:val="auto"/>
                <w:sz w:val="21"/>
                <w:szCs w:val="21"/>
                <w:highlight w:val="none"/>
                <w:lang w:eastAsia="zh-CN"/>
              </w:rPr>
              <w:t>00mm（宽）×2</w:t>
            </w:r>
            <w:r>
              <w:rPr>
                <w:rFonts w:hint="eastAsia" w:ascii="楷体" w:hAnsi="楷体" w:eastAsia="楷体" w:cs="Times New Roman"/>
                <w:bCs/>
                <w:color w:val="auto"/>
                <w:sz w:val="21"/>
                <w:szCs w:val="21"/>
                <w:highlight w:val="none"/>
                <w:lang w:val="en-US" w:eastAsia="zh-CN"/>
              </w:rPr>
              <w:t>2</w:t>
            </w:r>
            <w:r>
              <w:rPr>
                <w:rFonts w:hint="eastAsia" w:ascii="楷体" w:hAnsi="楷体" w:eastAsia="楷体" w:cs="Times New Roman"/>
                <w:bCs/>
                <w:color w:val="auto"/>
                <w:sz w:val="21"/>
                <w:szCs w:val="21"/>
                <w:highlight w:val="none"/>
                <w:lang w:eastAsia="zh-CN"/>
              </w:rPr>
              <w:t>00mm（高）以现场实测为准；</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停层站数：服务3个层站，停：1，2，3层；电梯门口均朝一个方向；各层标高为：±0.000m；5.</w:t>
            </w:r>
            <w:r>
              <w:rPr>
                <w:rFonts w:hint="eastAsia" w:ascii="楷体" w:hAnsi="楷体" w:eastAsia="楷体" w:cs="Times New Roman"/>
                <w:bCs/>
                <w:color w:val="auto"/>
                <w:sz w:val="21"/>
                <w:szCs w:val="21"/>
                <w:lang w:val="en-US" w:eastAsia="zh-CN"/>
              </w:rPr>
              <w:t>1</w:t>
            </w:r>
            <w:r>
              <w:rPr>
                <w:rFonts w:hint="eastAsia" w:ascii="楷体" w:hAnsi="楷体" w:eastAsia="楷体" w:cs="Times New Roman"/>
                <w:bCs/>
                <w:color w:val="auto"/>
                <w:sz w:val="21"/>
                <w:szCs w:val="21"/>
                <w:lang w:eastAsia="zh-CN"/>
              </w:rPr>
              <w:t>00m；</w:t>
            </w:r>
            <w:r>
              <w:rPr>
                <w:rFonts w:hint="eastAsia" w:ascii="楷体" w:hAnsi="楷体" w:eastAsia="楷体" w:cs="Times New Roman"/>
                <w:bCs/>
                <w:color w:val="auto"/>
                <w:sz w:val="21"/>
                <w:szCs w:val="21"/>
                <w:lang w:val="en-US" w:eastAsia="zh-CN"/>
              </w:rPr>
              <w:t>9</w:t>
            </w:r>
            <w:r>
              <w:rPr>
                <w:rFonts w:hint="eastAsia" w:ascii="楷体" w:hAnsi="楷体" w:eastAsia="楷体" w:cs="Times New Roman"/>
                <w:bCs/>
                <w:color w:val="auto"/>
                <w:sz w:val="21"/>
                <w:szCs w:val="21"/>
                <w:lang w:eastAsia="zh-CN"/>
              </w:rPr>
              <w:t>.</w:t>
            </w:r>
            <w:r>
              <w:rPr>
                <w:rFonts w:hint="eastAsia" w:ascii="楷体" w:hAnsi="楷体" w:eastAsia="楷体" w:cs="Times New Roman"/>
                <w:bCs/>
                <w:color w:val="auto"/>
                <w:sz w:val="21"/>
                <w:szCs w:val="21"/>
                <w:lang w:val="en-US" w:eastAsia="zh-CN"/>
              </w:rPr>
              <w:t>3</w:t>
            </w:r>
            <w:r>
              <w:rPr>
                <w:rFonts w:hint="eastAsia" w:ascii="楷体" w:hAnsi="楷体" w:eastAsia="楷体" w:cs="Times New Roman"/>
                <w:bCs/>
                <w:color w:val="auto"/>
                <w:sz w:val="21"/>
                <w:szCs w:val="21"/>
                <w:lang w:eastAsia="zh-CN"/>
              </w:rPr>
              <w:t>0</w:t>
            </w:r>
            <w:r>
              <w:rPr>
                <w:rFonts w:hint="eastAsia" w:ascii="楷体" w:hAnsi="楷体" w:eastAsia="楷体" w:cs="Times New Roman"/>
                <w:bCs/>
                <w:color w:val="auto"/>
                <w:sz w:val="21"/>
                <w:szCs w:val="21"/>
                <w:lang w:val="en-US" w:eastAsia="zh-CN"/>
              </w:rPr>
              <w:t>0</w:t>
            </w:r>
            <w:r>
              <w:rPr>
                <w:rFonts w:hint="eastAsia" w:ascii="楷体" w:hAnsi="楷体" w:eastAsia="楷体" w:cs="Times New Roman"/>
                <w:bCs/>
                <w:color w:val="auto"/>
                <w:sz w:val="21"/>
                <w:szCs w:val="21"/>
                <w:lang w:eastAsia="zh-CN"/>
              </w:rPr>
              <w:t>m；</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井道尺寸（内净）：</w:t>
            </w:r>
            <w:r>
              <w:rPr>
                <w:rFonts w:hint="eastAsia" w:ascii="楷体" w:hAnsi="楷体" w:eastAsia="楷体" w:cs="Times New Roman"/>
                <w:bCs/>
                <w:color w:val="auto"/>
                <w:sz w:val="21"/>
                <w:szCs w:val="21"/>
                <w:lang w:val="en-US" w:eastAsia="zh-CN"/>
              </w:rPr>
              <w:t>22</w:t>
            </w:r>
            <w:r>
              <w:rPr>
                <w:rFonts w:hint="eastAsia" w:ascii="楷体" w:hAnsi="楷体" w:eastAsia="楷体" w:cs="Times New Roman"/>
                <w:bCs/>
                <w:color w:val="auto"/>
                <w:sz w:val="21"/>
                <w:szCs w:val="21"/>
                <w:lang w:eastAsia="zh-CN"/>
              </w:rPr>
              <w:t>00mm（宽）×</w:t>
            </w:r>
            <w:r>
              <w:rPr>
                <w:rFonts w:hint="eastAsia" w:ascii="楷体" w:hAnsi="楷体" w:eastAsia="楷体" w:cs="Times New Roman"/>
                <w:bCs/>
                <w:color w:val="auto"/>
                <w:sz w:val="21"/>
                <w:szCs w:val="21"/>
                <w:lang w:val="en-US" w:eastAsia="zh-CN"/>
              </w:rPr>
              <w:t>24</w:t>
            </w:r>
            <w:r>
              <w:rPr>
                <w:rFonts w:hint="eastAsia" w:ascii="楷体" w:hAnsi="楷体" w:eastAsia="楷体" w:cs="Times New Roman"/>
                <w:bCs/>
                <w:color w:val="auto"/>
                <w:sz w:val="21"/>
                <w:szCs w:val="21"/>
                <w:lang w:eastAsia="zh-CN"/>
              </w:rPr>
              <w:t>00mm；</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机底坑深度：1600mm（暂定）；</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动力电源：380v，50HZ；3相4线；</w:t>
            </w:r>
          </w:p>
          <w:p>
            <w:p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照明电源：220v，50HZ；</w:t>
            </w:r>
          </w:p>
          <w:p>
            <w:pPr>
              <w:adjustRightInd w:val="0"/>
              <w:snapToGrid w:val="0"/>
              <w:spacing w:after="0" w:line="360" w:lineRule="auto"/>
              <w:rPr>
                <w:rFonts w:ascii="楷体" w:hAnsi="楷体" w:eastAsia="楷体" w:cs="Times New Roman"/>
                <w:bCs/>
                <w:color w:val="auto"/>
                <w:szCs w:val="24"/>
                <w:lang w:eastAsia="zh-CN"/>
              </w:rPr>
            </w:pPr>
            <w:r>
              <w:rPr>
                <w:rFonts w:hint="eastAsia" w:ascii="楷体" w:hAnsi="楷体" w:eastAsia="楷体" w:cs="Times New Roman"/>
                <w:bCs/>
                <w:color w:val="auto"/>
                <w:sz w:val="21"/>
                <w:szCs w:val="21"/>
                <w:lang w:eastAsia="zh-CN"/>
              </w:rPr>
              <w:t>电梯起吊设备置于电梯井道顶上，密封良好。</w:t>
            </w:r>
            <w:bookmarkStart w:id="15" w:name="_Toc5674"/>
            <w:r>
              <w:rPr>
                <w:rFonts w:hint="eastAsia" w:ascii="楷体" w:hAnsi="楷体" w:eastAsia="楷体" w:cs="Times New Roman"/>
                <w:bCs/>
                <w:color w:val="auto"/>
                <w:sz w:val="21"/>
                <w:szCs w:val="21"/>
                <w:lang w:eastAsia="zh-CN"/>
              </w:rPr>
              <w:t xml:space="preserve"> </w:t>
            </w:r>
            <w:bookmarkEnd w:id="15"/>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4" w:type="dxa"/>
          </w:tcPr>
          <w:p>
            <w:pPr>
              <w:numPr>
                <w:ilvl w:val="0"/>
                <w:numId w:val="9"/>
              </w:numPr>
              <w:spacing w:before="100" w:beforeAutospacing="1" w:after="100" w:afterAutospacing="1" w:line="240" w:lineRule="auto"/>
              <w:rPr>
                <w:rFonts w:ascii="Times New Roman" w:hAnsi="Times New Roman" w:eastAsia="Times New Roman" w:cs="Times New Roman"/>
                <w:szCs w:val="24"/>
                <w:lang w:eastAsia="zh-CN"/>
              </w:rPr>
            </w:pPr>
            <w:r>
              <w:rPr>
                <w:rFonts w:ascii="Times New Roman" w:hAnsi="Times New Roman" w:eastAsia="Times New Roman" w:cs="Times New Roman"/>
                <w:szCs w:val="24"/>
                <w:lang w:eastAsia="zh-CN"/>
              </w:rPr>
              <w:t>Требования к отделке</w:t>
            </w:r>
          </w:p>
          <w:p>
            <w:pPr>
              <w:spacing w:before="100" w:beforeAutospacing="1" w:after="100" w:afterAutospacing="1" w:line="240" w:lineRule="auto"/>
              <w:rPr>
                <w:rFonts w:ascii="Times New Roman" w:hAnsi="Times New Roman" w:eastAsia="Times New Roman" w:cs="Times New Roman"/>
                <w:szCs w:val="24"/>
                <w:lang w:eastAsia="zh-CN"/>
              </w:rPr>
            </w:pPr>
            <w:r>
              <w:rPr>
                <w:rFonts w:ascii="Times New Roman" w:hAnsi="Times New Roman" w:eastAsia="Times New Roman" w:cs="Times New Roman"/>
                <w:szCs w:val="24"/>
                <w:lang w:eastAsia="zh-CN"/>
              </w:rPr>
              <w:t>3.1. Освещение кабины (потолок) выполнено с использованием LED и аналогичных источников света.</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highlight w:val="none"/>
                <w:lang w:eastAsia="zh-CN"/>
              </w:rPr>
              <w:t xml:space="preserve">3.2. </w:t>
            </w:r>
            <w:r>
              <w:rPr>
                <w:rFonts w:ascii="Times New Roman" w:hAnsi="Times New Roman" w:eastAsia="Times New Roman" w:cs="Times New Roman"/>
                <w:szCs w:val="24"/>
                <w:highlight w:val="none"/>
                <w:lang w:val="ru-RU" w:eastAsia="zh-CN"/>
              </w:rPr>
              <w:t>Отделка стен кабины выполнена в изысканном, светлом и лаконичном стиле: с трех сторон используется зеркальная нержавеющая сталь, остальные стороны — рифленая нержавеющая сталь.</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t>3.3. Панель управления и кнопки внутри кабины выполнены из нержавеющей стали, имеют плавные формы и быстрый отклик, установлены на стороне дверей кабины.</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highlight w:val="none"/>
                <w:lang w:eastAsia="zh-CN"/>
              </w:rPr>
              <w:t xml:space="preserve">3.4. </w:t>
            </w:r>
            <w:r>
              <w:rPr>
                <w:rFonts w:ascii="Times New Roman" w:hAnsi="Times New Roman" w:eastAsia="Times New Roman" w:cs="Times New Roman"/>
                <w:szCs w:val="24"/>
                <w:highlight w:val="none"/>
                <w:lang w:val="ru-RU" w:eastAsia="zh-CN"/>
              </w:rPr>
              <w:t xml:space="preserve">Двери кабины работают плавно и тихо, быстро открываются и закрываются, выполнены из зеркальной </w:t>
            </w:r>
            <w:r>
              <w:rPr>
                <w:rFonts w:ascii="Times New Roman" w:hAnsi="Times New Roman" w:eastAsia="Times New Roman" w:cs="Times New Roman"/>
                <w:szCs w:val="24"/>
                <w:highlight w:val="none"/>
                <w:lang w:val="kk-KZ" w:eastAsia="zh-CN"/>
              </w:rPr>
              <w:t xml:space="preserve"> </w:t>
            </w:r>
            <w:r>
              <w:rPr>
                <w:rFonts w:ascii="Times New Roman" w:hAnsi="Times New Roman" w:eastAsia="Times New Roman" w:cs="Times New Roman"/>
                <w:szCs w:val="24"/>
                <w:highlight w:val="none"/>
                <w:lang w:val="ru-RU" w:eastAsia="zh-CN"/>
              </w:rPr>
              <w:t>нержавеющей стали.</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t>3.5. Пол кабины красивый и долговечный, покрыт износостойким PVC-плиточным покрытием.</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highlight w:val="none"/>
                <w:lang w:eastAsia="zh-CN"/>
              </w:rPr>
              <w:t xml:space="preserve">3.6. </w:t>
            </w:r>
            <w:r>
              <w:rPr>
                <w:rFonts w:ascii="Times New Roman" w:hAnsi="Times New Roman" w:eastAsia="Times New Roman" w:cs="Times New Roman"/>
                <w:szCs w:val="24"/>
                <w:highlight w:val="none"/>
                <w:lang w:val="ru-RU" w:eastAsia="zh-CN"/>
              </w:rPr>
              <w:t>Двери и дверные коробки этажей выполнены из зеркальной нержавеющей стали.</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t>3.7. Кнопочные панели внешнего вызова из нержавеющей стали имеют плавный дизайн, установлены на стороне дверей кабины; замок базовой станции установлен на первом этаже и интегрирован с кнопочной панелью внешнего вызова.</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t>3.8. Пожарный переключатель расположен у двери первого этажа, включает кнопку с разбиваемым стеклом и ключевой выключатель для экстренного использования пожарными; ключевой выключатель имеет приоритет.</w:t>
            </w:r>
            <w:r>
              <w:rPr>
                <w:rFonts w:ascii="Times New Roman" w:hAnsi="Times New Roman" w:eastAsia="Times New Roman" w:cs="Times New Roman"/>
                <w:szCs w:val="24"/>
                <w:lang w:eastAsia="zh-CN"/>
              </w:rPr>
              <w:br w:type="textWrapping"/>
            </w:r>
            <w:r>
              <w:rPr>
                <w:rFonts w:ascii="Times New Roman" w:hAnsi="Times New Roman" w:eastAsia="Times New Roman" w:cs="Times New Roman"/>
                <w:szCs w:val="24"/>
                <w:lang w:eastAsia="zh-CN"/>
              </w:rPr>
              <w:t>3.9. Внутри кабины установлены поручни из нержавеющей стали.</w:t>
            </w:r>
          </w:p>
          <w:p>
            <w:pPr>
              <w:adjustRightInd w:val="0"/>
              <w:snapToGrid w:val="0"/>
              <w:spacing w:after="0" w:line="360" w:lineRule="auto"/>
              <w:jc w:val="center"/>
              <w:rPr>
                <w:rFonts w:ascii="Times New Roman" w:hAnsi="Times New Roman" w:eastAsia="楷体" w:cs="Times New Roman"/>
                <w:bCs/>
                <w:color w:val="FF0000"/>
                <w:sz w:val="21"/>
                <w:szCs w:val="21"/>
                <w:lang w:eastAsia="zh-CN"/>
              </w:rPr>
            </w:pPr>
          </w:p>
        </w:tc>
        <w:tc>
          <w:tcPr>
            <w:tcW w:w="6778" w:type="dxa"/>
          </w:tcPr>
          <w:p>
            <w:pPr>
              <w:pStyle w:val="34"/>
              <w:rPr>
                <w:rFonts w:ascii="楷体" w:hAnsi="楷体" w:eastAsia="楷体"/>
                <w:bCs/>
                <w:color w:val="auto"/>
                <w:lang w:eastAsia="zh-CN"/>
              </w:rPr>
            </w:pPr>
            <w:r>
              <w:rPr>
                <w:rFonts w:hint="eastAsia" w:ascii="楷体" w:hAnsi="楷体" w:eastAsia="楷体"/>
                <w:bCs/>
                <w:color w:val="auto"/>
                <w:lang w:val="en-US" w:eastAsia="zh-CN"/>
              </w:rPr>
              <w:t>3.</w:t>
            </w:r>
            <w:r>
              <w:rPr>
                <w:rFonts w:hint="eastAsia" w:ascii="楷体" w:hAnsi="楷体" w:eastAsia="楷体"/>
                <w:bCs/>
                <w:color w:val="auto"/>
                <w:lang w:eastAsia="zh-CN"/>
              </w:rPr>
              <w:t>装饰要求</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3.1. 轿厢装饰（天花板）均采用LED等照明。</w:t>
            </w:r>
          </w:p>
          <w:p>
            <w:pPr>
              <w:numPr>
                <w:ilvl w:val="255"/>
                <w:numId w:val="0"/>
              </w:numPr>
              <w:adjustRightInd w:val="0"/>
              <w:snapToGrid w:val="0"/>
              <w:spacing w:after="0" w:line="360" w:lineRule="auto"/>
              <w:rPr>
                <w:rFonts w:hint="default" w:ascii="楷体" w:hAnsi="楷体" w:eastAsia="楷体" w:cs="Times New Roman"/>
                <w:bCs/>
                <w:color w:val="auto"/>
                <w:sz w:val="21"/>
                <w:szCs w:val="21"/>
                <w:lang w:val="en-US" w:eastAsia="zh-CN"/>
              </w:rPr>
            </w:pPr>
            <w:r>
              <w:rPr>
                <w:rFonts w:hint="eastAsia" w:ascii="楷体" w:hAnsi="楷体" w:eastAsia="楷体" w:cs="Times New Roman"/>
                <w:bCs/>
                <w:color w:val="auto"/>
                <w:sz w:val="21"/>
                <w:szCs w:val="21"/>
                <w:lang w:eastAsia="zh-CN"/>
              </w:rPr>
              <w:t>3.2. 轿壁高雅、明快、简洁，箱体三面采用</w:t>
            </w:r>
            <w:r>
              <w:rPr>
                <w:rFonts w:hint="eastAsia" w:ascii="楷体" w:hAnsi="楷体" w:eastAsia="楷体" w:cs="Times New Roman"/>
                <w:bCs/>
                <w:color w:val="auto"/>
                <w:sz w:val="21"/>
                <w:szCs w:val="21"/>
                <w:lang w:val="en-US" w:eastAsia="zh-CN"/>
              </w:rPr>
              <w:t>镜面</w:t>
            </w:r>
            <w:r>
              <w:rPr>
                <w:rFonts w:hint="eastAsia" w:ascii="楷体" w:hAnsi="楷体" w:eastAsia="楷体" w:cs="Times New Roman"/>
                <w:bCs/>
                <w:color w:val="auto"/>
                <w:sz w:val="21"/>
                <w:szCs w:val="21"/>
                <w:lang w:eastAsia="zh-CN"/>
              </w:rPr>
              <w:t>不锈钢，</w:t>
            </w:r>
            <w:r>
              <w:rPr>
                <w:rFonts w:hint="eastAsia" w:ascii="楷体" w:hAnsi="楷体" w:eastAsia="楷体" w:cs="Times New Roman"/>
                <w:bCs/>
                <w:color w:val="auto"/>
                <w:sz w:val="21"/>
                <w:szCs w:val="21"/>
                <w:lang w:val="en-US" w:eastAsia="zh-CN"/>
              </w:rPr>
              <w:t>其余为波纹不锈钢。</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3.3. 轿厢内不锈钢操纵盘及按钮造型流畅、反应迅捷，装设在轿门侧面。</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3.4. 轿门灵活自如，安静快捷，采用</w:t>
            </w:r>
            <w:r>
              <w:rPr>
                <w:rFonts w:hint="eastAsia" w:ascii="楷体" w:hAnsi="楷体" w:eastAsia="楷体" w:cs="Times New Roman"/>
                <w:bCs/>
                <w:color w:val="auto"/>
                <w:sz w:val="21"/>
                <w:szCs w:val="21"/>
                <w:lang w:val="en-US" w:eastAsia="zh-CN"/>
              </w:rPr>
              <w:t>镜面</w:t>
            </w:r>
            <w:r>
              <w:rPr>
                <w:rFonts w:hint="eastAsia" w:ascii="楷体" w:hAnsi="楷体" w:eastAsia="楷体" w:cs="Times New Roman"/>
                <w:bCs/>
                <w:color w:val="auto"/>
                <w:sz w:val="21"/>
                <w:szCs w:val="21"/>
                <w:lang w:eastAsia="zh-CN"/>
              </w:rPr>
              <w:t>不锈钢。</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3.5. 轿底美观耐用，采用耐磨PVC塑胶地板拼花。</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3.6. 电梯层站层门及门套采用</w:t>
            </w:r>
            <w:r>
              <w:rPr>
                <w:rFonts w:hint="eastAsia" w:ascii="楷体" w:hAnsi="楷体" w:eastAsia="楷体" w:cs="Times New Roman"/>
                <w:bCs/>
                <w:color w:val="auto"/>
                <w:sz w:val="21"/>
                <w:szCs w:val="21"/>
                <w:lang w:val="en-US" w:eastAsia="zh-CN"/>
              </w:rPr>
              <w:t>镜面</w:t>
            </w:r>
            <w:r>
              <w:rPr>
                <w:rFonts w:hint="eastAsia" w:ascii="楷体" w:hAnsi="楷体" w:eastAsia="楷体" w:cs="Times New Roman"/>
                <w:bCs/>
                <w:color w:val="auto"/>
                <w:sz w:val="21"/>
                <w:szCs w:val="21"/>
                <w:lang w:eastAsia="zh-CN"/>
              </w:rPr>
              <w:t>不锈钢。</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3.7. 外呼梯不锈钢按钮盒造型流畅，装设在轿门侧面，基站锁装设在首层，合并在外呼梯按钮盒上。</w:t>
            </w:r>
          </w:p>
          <w:p>
            <w:pPr>
              <w:numPr>
                <w:ilvl w:val="255"/>
                <w:numId w:val="0"/>
              </w:numPr>
              <w:adjustRightInd w:val="0"/>
              <w:snapToGrid w:val="0"/>
              <w:spacing w:after="0" w:line="360" w:lineRule="auto"/>
              <w:rPr>
                <w:rFonts w:ascii="楷体" w:hAnsi="楷体" w:eastAsia="楷体" w:cs="Times New Roman"/>
                <w:bCs/>
                <w:color w:val="auto"/>
                <w:sz w:val="21"/>
                <w:szCs w:val="21"/>
                <w:lang w:eastAsia="zh-CN"/>
              </w:rPr>
            </w:pPr>
            <w:r>
              <w:rPr>
                <w:rFonts w:hint="eastAsia" w:ascii="楷体" w:hAnsi="楷体" w:eastAsia="楷体" w:cs="Times New Roman"/>
                <w:bCs/>
                <w:color w:val="auto"/>
                <w:sz w:val="21"/>
                <w:szCs w:val="21"/>
                <w:lang w:eastAsia="zh-CN"/>
              </w:rPr>
              <w:t>3.8. 消防开关设在首层门边有破碎玻璃按钮和钥匙开关，供消防人员紧急时使用，钥匙开关具有优先权。</w:t>
            </w:r>
          </w:p>
          <w:p>
            <w:pPr>
              <w:adjustRightInd w:val="0"/>
              <w:snapToGrid w:val="0"/>
              <w:spacing w:line="360" w:lineRule="auto"/>
              <w:rPr>
                <w:rFonts w:ascii="楷体" w:hAnsi="楷体" w:eastAsia="楷体" w:cs="Times New Roman"/>
                <w:bCs/>
                <w:color w:val="auto"/>
                <w:szCs w:val="24"/>
                <w:lang w:eastAsia="zh-CN"/>
              </w:rPr>
            </w:pPr>
            <w:r>
              <w:rPr>
                <w:rFonts w:hint="eastAsia" w:ascii="楷体" w:hAnsi="楷体" w:eastAsia="楷体" w:cs="Times New Roman"/>
                <w:bCs/>
                <w:color w:val="auto"/>
                <w:sz w:val="21"/>
                <w:szCs w:val="21"/>
                <w:lang w:eastAsia="zh-CN"/>
              </w:rPr>
              <w:t>3.9. 内设不锈钢扶手。</w:t>
            </w:r>
          </w:p>
        </w:tc>
      </w:tr>
    </w:tbl>
    <w:p>
      <w:pPr>
        <w:adjustRightInd w:val="0"/>
        <w:snapToGrid w:val="0"/>
        <w:spacing w:after="0" w:line="360" w:lineRule="auto"/>
        <w:jc w:val="center"/>
        <w:rPr>
          <w:rFonts w:ascii="楷体" w:hAnsi="楷体" w:eastAsia="楷体" w:cs="Times New Roman"/>
          <w:bCs/>
          <w:color w:val="FF0000"/>
          <w:sz w:val="44"/>
          <w:szCs w:val="44"/>
          <w:lang w:eastAsia="zh-CN"/>
        </w:rPr>
      </w:pPr>
    </w:p>
    <w:p>
      <w:pPr>
        <w:adjustRightInd w:val="0"/>
        <w:snapToGrid w:val="0"/>
        <w:spacing w:after="0" w:line="360" w:lineRule="auto"/>
        <w:jc w:val="center"/>
        <w:rPr>
          <w:rFonts w:ascii="楷体" w:hAnsi="楷体" w:eastAsia="楷体" w:cs="Times New Roman"/>
          <w:bCs/>
          <w:sz w:val="44"/>
          <w:szCs w:val="44"/>
          <w:lang w:eastAsia="zh-CN"/>
        </w:rPr>
      </w:pPr>
    </w:p>
    <w:p>
      <w:pPr>
        <w:adjustRightInd w:val="0"/>
        <w:snapToGrid w:val="0"/>
        <w:spacing w:after="0" w:line="360" w:lineRule="auto"/>
        <w:jc w:val="center"/>
        <w:rPr>
          <w:rFonts w:ascii="楷体" w:hAnsi="楷体" w:eastAsia="楷体" w:cs="Times New Roman"/>
          <w:bCs/>
          <w:sz w:val="44"/>
          <w:szCs w:val="44"/>
          <w:lang w:eastAsia="zh-CN"/>
        </w:rPr>
      </w:pPr>
    </w:p>
    <w:p>
      <w:pPr>
        <w:pStyle w:val="34"/>
        <w:adjustRightInd w:val="0"/>
        <w:snapToGrid w:val="0"/>
        <w:spacing w:line="360" w:lineRule="auto"/>
      </w:pPr>
    </w:p>
    <w:sectPr>
      <w:footerReference r:id="rId5" w:type="default"/>
      <w:pgSz w:w="15840" w:h="12240" w:orient="landscape"/>
      <w:pgMar w:top="741" w:right="1134" w:bottom="850" w:left="1134" w:header="720" w:footer="720" w:gutter="0"/>
      <w:cols w:space="720" w:num="1"/>
      <w:titlePg/>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CC"/>
    <w:family w:val="roman"/>
    <w:pitch w:val="default"/>
    <w:sig w:usb0="E00006FF" w:usb1="420024FF" w:usb2="02000000" w:usb3="00000000" w:csb0="2000019F" w:csb1="00000000"/>
  </w:font>
  <w:font w:name="ＭＳ 明朝">
    <w:altName w:val="Segoe Print"/>
    <w:panose1 w:val="00000000000000000000"/>
    <w:charset w:val="00"/>
    <w:family w:val="auto"/>
    <w:pitch w:val="default"/>
    <w:sig w:usb0="00000000" w:usb1="00000000" w:usb2="00000000" w:usb3="00000000" w:csb0="00000000" w:csb1="00000000"/>
  </w:font>
  <w:font w:name="MS Gothic">
    <w:panose1 w:val="020B0609070205080204"/>
    <w:charset w:val="80"/>
    <w:family w:val="auto"/>
    <w:pitch w:val="default"/>
    <w:sig w:usb0="E00002FF" w:usb1="6AC7FDFB" w:usb2="08000012" w:usb3="00000000" w:csb0="4002009F" w:csb1="DFD70000"/>
  </w:font>
  <w:font w:name="Courier">
    <w:altName w:val="Courier New"/>
    <w:panose1 w:val="02070309020205020404"/>
    <w:charset w:val="00"/>
    <w:family w:val="modern"/>
    <w:pitch w:val="default"/>
    <w:sig w:usb0="00000000" w:usb1="00000000" w:usb2="00000000" w:usb3="00000000" w:csb0="00000001" w:csb1="00000000"/>
  </w:font>
  <w:font w:name="Segoe UI">
    <w:panose1 w:val="020B0502040204020203"/>
    <w:charset w:val="CC"/>
    <w:family w:val="swiss"/>
    <w:pitch w:val="default"/>
    <w:sig w:usb0="E4002EFF" w:usb1="C000E47F"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楷体">
    <w:panose1 w:val="02010609060101010101"/>
    <w:charset w:val="86"/>
    <w:family w:val="modern"/>
    <w:pitch w:val="default"/>
    <w:sig w:usb0="800002BF" w:usb1="38CF7CFA" w:usb2="00000016" w:usb3="00000000" w:csb0="00040001" w:csb1="00000000"/>
  </w:font>
  <w:font w:name="FangSong_GB2312">
    <w:altName w:val="仿宋"/>
    <w:panose1 w:val="02010609060101010101"/>
    <w:charset w:val="86"/>
    <w:family w:val="modern"/>
    <w:pitch w:val="default"/>
    <w:sig w:usb0="00000000" w:usb1="00000000" w:usb2="00000016" w:usb3="00000000" w:csb0="00040001" w:csb1="00000000"/>
  </w:font>
  <w:font w:name="Cambria">
    <w:panose1 w:val="02040503050406030204"/>
    <w:charset w:val="00"/>
    <w:family w:val="auto"/>
    <w:pitch w:val="default"/>
    <w:sig w:usb0="E00006FF" w:usb1="420024FF" w:usb2="02000000" w:usb3="00000000" w:csb0="2000019F"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87801842"/>
    </w:sdtPr>
    <w:sdtContent>
      <w:p>
        <w:pPr>
          <w:pStyle w:val="28"/>
          <w:jc w:val="center"/>
        </w:pPr>
        <w:r>
          <w:fldChar w:fldCharType="begin"/>
        </w:r>
        <w:r>
          <w:instrText xml:space="preserve">PAGE   \* MERGEFORMAT</w:instrText>
        </w:r>
        <w:r>
          <w:fldChar w:fldCharType="separate"/>
        </w:r>
        <w:r>
          <w:rPr>
            <w:lang w:val="ru-RU"/>
          </w:rPr>
          <w:t>6</w:t>
        </w:r>
        <w:r>
          <w:fldChar w:fldCharType="end"/>
        </w:r>
      </w:p>
    </w:sdtContent>
  </w:sdt>
  <w:p>
    <w:pPr>
      <w:pStyle w:val="2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3"/>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6"/>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21"/>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6"/>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7"/>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9"/>
      <w:lvlText w:val=""/>
      <w:lvlJc w:val="left"/>
      <w:pPr>
        <w:tabs>
          <w:tab w:val="left" w:pos="360"/>
        </w:tabs>
        <w:ind w:left="360" w:hanging="360"/>
      </w:pPr>
      <w:rPr>
        <w:rFonts w:hint="default" w:ascii="Symbol" w:hAnsi="Symbol"/>
      </w:rPr>
    </w:lvl>
  </w:abstractNum>
  <w:abstractNum w:abstractNumId="6">
    <w:nsid w:val="44B47183"/>
    <w:multiLevelType w:val="multilevel"/>
    <w:tmpl w:val="44B47183"/>
    <w:lvl w:ilvl="0" w:tentative="0">
      <w:start w:val="2"/>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5830C80"/>
    <w:multiLevelType w:val="multilevel"/>
    <w:tmpl w:val="65830C80"/>
    <w:lvl w:ilvl="0" w:tentative="0">
      <w:start w:val="3"/>
      <w:numFmt w:val="decimal"/>
      <w:lvlText w:val="%1."/>
      <w:lvlJc w:val="left"/>
      <w:pPr>
        <w:tabs>
          <w:tab w:val="left" w:pos="720"/>
        </w:tabs>
        <w:ind w:left="72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8">
    <w:nsid w:val="7280EBD8"/>
    <w:multiLevelType w:val="singleLevel"/>
    <w:tmpl w:val="7280EBD8"/>
    <w:lvl w:ilvl="0" w:tentative="0">
      <w:start w:val="4"/>
      <w:numFmt w:val="decimal"/>
      <w:suff w:val="space"/>
      <w:lvlText w:val="%1."/>
      <w:lvlJc w:val="left"/>
    </w:lvl>
  </w:abstractNum>
  <w:num w:numId="1">
    <w:abstractNumId w:val="1"/>
  </w:num>
  <w:num w:numId="2">
    <w:abstractNumId w:val="4"/>
  </w:num>
  <w:num w:numId="3">
    <w:abstractNumId w:val="5"/>
  </w:num>
  <w:num w:numId="4">
    <w:abstractNumId w:val="2"/>
  </w:num>
  <w:num w:numId="5">
    <w:abstractNumId w:val="0"/>
  </w:num>
  <w:num w:numId="6">
    <w:abstractNumId w:val="3"/>
  </w:num>
  <w:num w:numId="7">
    <w:abstractNumId w:val="8"/>
  </w:num>
  <w:num w:numId="8">
    <w:abstractNumId w:val="6"/>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cumentProtection w:enforcement="0"/>
  <w:defaultTabStop w:val="720"/>
  <w:noPunctuationKerning w:val="1"/>
  <w:characterSpacingControl w:val="doNotCompress"/>
  <w:footnotePr>
    <w:footnote w:id="0"/>
    <w:footnote w:id="1"/>
  </w:footnotePr>
  <w:endnotePr>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7730"/>
    <w:rsid w:val="00033EB2"/>
    <w:rsid w:val="00034616"/>
    <w:rsid w:val="0006063C"/>
    <w:rsid w:val="0006609A"/>
    <w:rsid w:val="000952B0"/>
    <w:rsid w:val="000A36CA"/>
    <w:rsid w:val="000A6EFE"/>
    <w:rsid w:val="000B0BB9"/>
    <w:rsid w:val="000C07DF"/>
    <w:rsid w:val="000E541E"/>
    <w:rsid w:val="001056DD"/>
    <w:rsid w:val="00112C51"/>
    <w:rsid w:val="00146C29"/>
    <w:rsid w:val="0015074B"/>
    <w:rsid w:val="0017099B"/>
    <w:rsid w:val="00171870"/>
    <w:rsid w:val="00187635"/>
    <w:rsid w:val="00190B5A"/>
    <w:rsid w:val="001C3227"/>
    <w:rsid w:val="001C5D73"/>
    <w:rsid w:val="001F25A0"/>
    <w:rsid w:val="00206791"/>
    <w:rsid w:val="0029639D"/>
    <w:rsid w:val="002A6114"/>
    <w:rsid w:val="002C43CD"/>
    <w:rsid w:val="002D09E7"/>
    <w:rsid w:val="00301E5C"/>
    <w:rsid w:val="0030307C"/>
    <w:rsid w:val="003242D4"/>
    <w:rsid w:val="00326F90"/>
    <w:rsid w:val="0033187C"/>
    <w:rsid w:val="00346AF9"/>
    <w:rsid w:val="00347F97"/>
    <w:rsid w:val="003600AC"/>
    <w:rsid w:val="00376931"/>
    <w:rsid w:val="003B45B4"/>
    <w:rsid w:val="003C0B36"/>
    <w:rsid w:val="003D3632"/>
    <w:rsid w:val="00431C4C"/>
    <w:rsid w:val="0046599A"/>
    <w:rsid w:val="004B6DE7"/>
    <w:rsid w:val="004C312A"/>
    <w:rsid w:val="004C640F"/>
    <w:rsid w:val="005015C1"/>
    <w:rsid w:val="005246BA"/>
    <w:rsid w:val="00541457"/>
    <w:rsid w:val="005A434E"/>
    <w:rsid w:val="005D2A3A"/>
    <w:rsid w:val="006222D1"/>
    <w:rsid w:val="00630E33"/>
    <w:rsid w:val="00643F40"/>
    <w:rsid w:val="00651FC9"/>
    <w:rsid w:val="00667987"/>
    <w:rsid w:val="00697594"/>
    <w:rsid w:val="006A1218"/>
    <w:rsid w:val="006A2228"/>
    <w:rsid w:val="006B32DA"/>
    <w:rsid w:val="006D349B"/>
    <w:rsid w:val="006E32B7"/>
    <w:rsid w:val="00742940"/>
    <w:rsid w:val="00785830"/>
    <w:rsid w:val="00793E14"/>
    <w:rsid w:val="00816A2C"/>
    <w:rsid w:val="0084616C"/>
    <w:rsid w:val="00847471"/>
    <w:rsid w:val="0085080B"/>
    <w:rsid w:val="00851F17"/>
    <w:rsid w:val="00853809"/>
    <w:rsid w:val="00867F2F"/>
    <w:rsid w:val="0088343D"/>
    <w:rsid w:val="00901265"/>
    <w:rsid w:val="009821DF"/>
    <w:rsid w:val="009B1180"/>
    <w:rsid w:val="009F7DE1"/>
    <w:rsid w:val="00A32B8A"/>
    <w:rsid w:val="00AA1D8D"/>
    <w:rsid w:val="00AA2607"/>
    <w:rsid w:val="00AC38C6"/>
    <w:rsid w:val="00AD5010"/>
    <w:rsid w:val="00B32481"/>
    <w:rsid w:val="00B33AFB"/>
    <w:rsid w:val="00B4133B"/>
    <w:rsid w:val="00B42AD4"/>
    <w:rsid w:val="00B47730"/>
    <w:rsid w:val="00B845FF"/>
    <w:rsid w:val="00B86BCE"/>
    <w:rsid w:val="00BA543B"/>
    <w:rsid w:val="00BB3421"/>
    <w:rsid w:val="00BB6BA4"/>
    <w:rsid w:val="00BE4BA0"/>
    <w:rsid w:val="00C01500"/>
    <w:rsid w:val="00C027B6"/>
    <w:rsid w:val="00C0347D"/>
    <w:rsid w:val="00C35B33"/>
    <w:rsid w:val="00C83C1D"/>
    <w:rsid w:val="00CA5EE6"/>
    <w:rsid w:val="00CB0664"/>
    <w:rsid w:val="00CC7E48"/>
    <w:rsid w:val="00CE0D44"/>
    <w:rsid w:val="00D17909"/>
    <w:rsid w:val="00D27472"/>
    <w:rsid w:val="00D27629"/>
    <w:rsid w:val="00D3337A"/>
    <w:rsid w:val="00D42CC8"/>
    <w:rsid w:val="00D50302"/>
    <w:rsid w:val="00D61570"/>
    <w:rsid w:val="00D96D8D"/>
    <w:rsid w:val="00DC390D"/>
    <w:rsid w:val="00DE7C65"/>
    <w:rsid w:val="00E022EB"/>
    <w:rsid w:val="00E11CA1"/>
    <w:rsid w:val="00E146E5"/>
    <w:rsid w:val="00E15F27"/>
    <w:rsid w:val="00E512C2"/>
    <w:rsid w:val="00E5403C"/>
    <w:rsid w:val="00E56E59"/>
    <w:rsid w:val="00E5764B"/>
    <w:rsid w:val="00EC5D24"/>
    <w:rsid w:val="00EE4350"/>
    <w:rsid w:val="00F1518B"/>
    <w:rsid w:val="00F17BA5"/>
    <w:rsid w:val="00F309CB"/>
    <w:rsid w:val="00F51922"/>
    <w:rsid w:val="00FC35F7"/>
    <w:rsid w:val="00FC693F"/>
    <w:rsid w:val="00FD733D"/>
    <w:rsid w:val="00FF25FA"/>
    <w:rsid w:val="01045285"/>
    <w:rsid w:val="01935744"/>
    <w:rsid w:val="05694B52"/>
    <w:rsid w:val="06E25AF0"/>
    <w:rsid w:val="07636618"/>
    <w:rsid w:val="09260F2E"/>
    <w:rsid w:val="095F05BB"/>
    <w:rsid w:val="097A111F"/>
    <w:rsid w:val="0A301D54"/>
    <w:rsid w:val="0ACE08C8"/>
    <w:rsid w:val="0AF17846"/>
    <w:rsid w:val="0B9B7447"/>
    <w:rsid w:val="0F132610"/>
    <w:rsid w:val="127A3E3B"/>
    <w:rsid w:val="12BB3B36"/>
    <w:rsid w:val="12D66956"/>
    <w:rsid w:val="14660585"/>
    <w:rsid w:val="1750464D"/>
    <w:rsid w:val="1A2A2017"/>
    <w:rsid w:val="1CDD515C"/>
    <w:rsid w:val="1D470990"/>
    <w:rsid w:val="21C42C58"/>
    <w:rsid w:val="22D62D20"/>
    <w:rsid w:val="238E140C"/>
    <w:rsid w:val="245C2C57"/>
    <w:rsid w:val="24E835FA"/>
    <w:rsid w:val="24EB07D1"/>
    <w:rsid w:val="250C1428"/>
    <w:rsid w:val="26A036EA"/>
    <w:rsid w:val="2C341A92"/>
    <w:rsid w:val="2D175634"/>
    <w:rsid w:val="310D1633"/>
    <w:rsid w:val="3274284F"/>
    <w:rsid w:val="33E93427"/>
    <w:rsid w:val="35193453"/>
    <w:rsid w:val="360F0615"/>
    <w:rsid w:val="3A260243"/>
    <w:rsid w:val="3AA07184"/>
    <w:rsid w:val="3C8F0190"/>
    <w:rsid w:val="3C951565"/>
    <w:rsid w:val="3CAB4674"/>
    <w:rsid w:val="3E9954CE"/>
    <w:rsid w:val="3FC10261"/>
    <w:rsid w:val="419F1267"/>
    <w:rsid w:val="44410B82"/>
    <w:rsid w:val="44EC6278"/>
    <w:rsid w:val="463C734F"/>
    <w:rsid w:val="47604837"/>
    <w:rsid w:val="49AE0E83"/>
    <w:rsid w:val="4B457F4A"/>
    <w:rsid w:val="4D750521"/>
    <w:rsid w:val="4EE5617F"/>
    <w:rsid w:val="4F36237B"/>
    <w:rsid w:val="506715B5"/>
    <w:rsid w:val="517A324D"/>
    <w:rsid w:val="52690067"/>
    <w:rsid w:val="52C234D6"/>
    <w:rsid w:val="56CC43DE"/>
    <w:rsid w:val="57236C0C"/>
    <w:rsid w:val="5B9834B3"/>
    <w:rsid w:val="5E8E54B4"/>
    <w:rsid w:val="5EAD5981"/>
    <w:rsid w:val="638475C0"/>
    <w:rsid w:val="645A0930"/>
    <w:rsid w:val="64F87534"/>
    <w:rsid w:val="652C3070"/>
    <w:rsid w:val="673B2EA8"/>
    <w:rsid w:val="68A32539"/>
    <w:rsid w:val="68FE20EC"/>
    <w:rsid w:val="6B475E5D"/>
    <w:rsid w:val="6C4F1BCF"/>
    <w:rsid w:val="6D582806"/>
    <w:rsid w:val="6E2C624C"/>
    <w:rsid w:val="6ED20ADF"/>
    <w:rsid w:val="6FC33B67"/>
    <w:rsid w:val="709A2955"/>
    <w:rsid w:val="70A9296D"/>
    <w:rsid w:val="71220F11"/>
    <w:rsid w:val="71692069"/>
    <w:rsid w:val="71D833B7"/>
    <w:rsid w:val="739D76AD"/>
    <w:rsid w:val="760A35A0"/>
    <w:rsid w:val="76BD5BAB"/>
    <w:rsid w:val="782F5862"/>
    <w:rsid w:val="79F655BA"/>
    <w:rsid w:val="7D855BA5"/>
    <w:rsid w:val="7E9A4BDF"/>
    <w:rsid w:val="7F313917"/>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doNotIncludeSubdocsInStats/>
  <w14:defaultImageDpi w14:val="300"/>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nhideWhenUsed="0" w:uiPriority="0" w:semiHidden="0"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qFormat="1" w:uiPriority="99" w:semiHidden="0" w:name="macro"/>
    <w:lsdException w:uiPriority="99" w:name="toa heading"/>
    <w:lsdException w:qFormat="1" w:uiPriority="99" w:semiHidden="0" w:name="List"/>
    <w:lsdException w:qFormat="1" w:uiPriority="99" w:semiHidden="0" w:name="List Bullet"/>
    <w:lsdException w:qFormat="1" w:uiPriority="99" w:semiHidden="0" w:name="List Number"/>
    <w:lsdException w:qFormat="1" w:uiPriority="99" w:semiHidden="0" w:name="List 2"/>
    <w:lsdException w:qFormat="1" w:uiPriority="99" w:semiHidden="0" w:name="List 3"/>
    <w:lsdException w:uiPriority="99" w:name="List 4"/>
    <w:lsdException w:uiPriority="99" w:name="List 5"/>
    <w:lsdException w:qFormat="1" w:uiPriority="99" w:semiHidden="0" w:name="List Bullet 2"/>
    <w:lsdException w:qFormat="1" w:uiPriority="99" w:semiHidden="0" w:name="List Bullet 3"/>
    <w:lsdException w:uiPriority="99" w:name="List Bullet 4"/>
    <w:lsdException w:uiPriority="99" w:name="List Bullet 5"/>
    <w:lsdException w:qFormat="1" w:uiPriority="99" w:semiHidden="0" w:name="List Number 2"/>
    <w:lsdException w:qFormat="1"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qFormat="1" w:uiPriority="99" w:semiHidden="0" w:name="Body Text"/>
    <w:lsdException w:qFormat="1" w:unhideWhenUsed="0" w:uiPriority="0" w:semiHidden="0" w:name="Body Text Indent"/>
    <w:lsdException w:qFormat="1" w:uiPriority="99" w:semiHidden="0" w:name="List Continue"/>
    <w:lsdException w:qFormat="1" w:uiPriority="99" w:semiHidden="0" w:name="List Continue 2"/>
    <w:lsdException w:qFormat="1"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qFormat="1" w:uiPriority="99" w:semiHidden="0" w:name="Body Text 2"/>
    <w:lsdException w:qFormat="1" w:uiPriority="99" w:semiHidden="0"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qFormat="1" w:unhideWhenUsed="0" w:uiPriority="60" w:semiHidden="0" w:name="Light Shading"/>
    <w:lsdException w:qFormat="1" w:unhideWhenUsed="0" w:uiPriority="61" w:semiHidden="0" w:name="Light List"/>
    <w:lsdException w:qFormat="1" w:unhideWhenUsed="0" w:uiPriority="62" w:semiHidden="0" w:name="Light Grid"/>
    <w:lsdException w:qFormat="1" w:unhideWhenUsed="0" w:uiPriority="63" w:semiHidden="0" w:name="Medium Shading 1"/>
    <w:lsdException w:qFormat="1" w:unhideWhenUsed="0" w:uiPriority="64" w:semiHidden="0" w:name="Medium Shading 2"/>
    <w:lsdException w:qFormat="1" w:unhideWhenUsed="0" w:uiPriority="65" w:semiHidden="0" w:name="Medium List 1"/>
    <w:lsdException w:qFormat="1" w:unhideWhenUsed="0" w:uiPriority="66" w:semiHidden="0" w:name="Medium List 2"/>
    <w:lsdException w:qFormat="1" w:unhideWhenUsed="0" w:uiPriority="67" w:semiHidden="0" w:name="Medium Grid 1"/>
    <w:lsdException w:qFormat="1" w:unhideWhenUsed="0" w:uiPriority="68" w:semiHidden="0" w:name="Medium Grid 2"/>
    <w:lsdException w:qFormat="1" w:unhideWhenUsed="0" w:uiPriority="69" w:semiHidden="0" w:name="Medium Grid 3"/>
    <w:lsdException w:qFormat="1" w:unhideWhenUsed="0" w:uiPriority="70" w:semiHidden="0" w:name="Dark List"/>
    <w:lsdException w:qFormat="1" w:unhideWhenUsed="0" w:uiPriority="71" w:semiHidden="0" w:name="Colorful Shading"/>
    <w:lsdException w:qFormat="1" w:unhideWhenUsed="0" w:uiPriority="72" w:semiHidden="0" w:name="Colorful List"/>
    <w:lsdException w:qFormat="1" w:unhideWhenUsed="0" w:uiPriority="73" w:semiHidden="0" w:name="Colorful Grid"/>
    <w:lsdException w:qFormat="1" w:unhideWhenUsed="0" w:uiPriority="60" w:semiHidden="0" w:name="Light Shading Accent 1"/>
    <w:lsdException w:qFormat="1" w:unhideWhenUsed="0" w:uiPriority="61" w:semiHidden="0" w:name="Light List Accent 1"/>
    <w:lsdException w:qFormat="1" w:unhideWhenUsed="0" w:uiPriority="62" w:semiHidden="0" w:name="Light Grid Accent 1"/>
    <w:lsdException w:qFormat="1" w:unhideWhenUsed="0" w:uiPriority="63" w:semiHidden="0" w:name="Medium Shading 1 Accent 1"/>
    <w:lsdException w:qFormat="1" w:unhideWhenUsed="0" w:uiPriority="64" w:semiHidden="0" w:name="Medium Shading 2 Accent 1"/>
    <w:lsdException w:qFormat="1"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qFormat="1" w:unhideWhenUsed="0" w:uiPriority="66" w:semiHidden="0" w:name="Medium List 2 Accent 1"/>
    <w:lsdException w:qFormat="1" w:unhideWhenUsed="0" w:uiPriority="67" w:semiHidden="0" w:name="Medium Grid 1 Accent 1"/>
    <w:lsdException w:qFormat="1" w:unhideWhenUsed="0" w:uiPriority="68" w:semiHidden="0" w:name="Medium Grid 2 Accent 1"/>
    <w:lsdException w:qFormat="1" w:unhideWhenUsed="0" w:uiPriority="69" w:semiHidden="0" w:name="Medium Grid 3 Accent 1"/>
    <w:lsdException w:qFormat="1" w:unhideWhenUsed="0" w:uiPriority="70" w:semiHidden="0" w:name="Dark List Accent 1"/>
    <w:lsdException w:qFormat="1" w:unhideWhenUsed="0" w:uiPriority="71" w:semiHidden="0" w:name="Colorful Shading Accent 1"/>
    <w:lsdException w:qFormat="1" w:unhideWhenUsed="0" w:uiPriority="72" w:semiHidden="0" w:name="Colorful List Accent 1"/>
    <w:lsdException w:qFormat="1" w:unhideWhenUsed="0" w:uiPriority="73" w:semiHidden="0" w:name="Colorful Grid Accent 1"/>
    <w:lsdException w:qFormat="1" w:unhideWhenUsed="0" w:uiPriority="60" w:semiHidden="0" w:name="Light Shading Accent 2"/>
    <w:lsdException w:qFormat="1" w:unhideWhenUsed="0" w:uiPriority="61" w:semiHidden="0" w:name="Light List Accent 2"/>
    <w:lsdException w:qFormat="1" w:unhideWhenUsed="0" w:uiPriority="62" w:semiHidden="0" w:name="Light Grid Accent 2"/>
    <w:lsdException w:qFormat="1" w:unhideWhenUsed="0" w:uiPriority="63" w:semiHidden="0" w:name="Medium Shading 1 Accent 2"/>
    <w:lsdException w:qFormat="1" w:unhideWhenUsed="0" w:uiPriority="64" w:semiHidden="0" w:name="Medium Shading 2 Accent 2"/>
    <w:lsdException w:qFormat="1" w:unhideWhenUsed="0" w:uiPriority="65" w:semiHidden="0" w:name="Medium List 1 Accent 2"/>
    <w:lsdException w:qFormat="1" w:unhideWhenUsed="0" w:uiPriority="66" w:semiHidden="0" w:name="Medium List 2 Accent 2"/>
    <w:lsdException w:qFormat="1" w:unhideWhenUsed="0" w:uiPriority="67" w:semiHidden="0" w:name="Medium Grid 1 Accent 2"/>
    <w:lsdException w:qFormat="1" w:unhideWhenUsed="0" w:uiPriority="68" w:semiHidden="0" w:name="Medium Grid 2 Accent 2"/>
    <w:lsdException w:qFormat="1" w:unhideWhenUsed="0" w:uiPriority="69" w:semiHidden="0" w:name="Medium Grid 3 Accent 2"/>
    <w:lsdException w:qFormat="1" w:unhideWhenUsed="0" w:uiPriority="70" w:semiHidden="0" w:name="Dark List Accent 2"/>
    <w:lsdException w:qFormat="1" w:unhideWhenUsed="0" w:uiPriority="71" w:semiHidden="0" w:name="Colorful Shading Accent 2"/>
    <w:lsdException w:qFormat="1" w:unhideWhenUsed="0" w:uiPriority="72" w:semiHidden="0" w:name="Colorful List Accent 2"/>
    <w:lsdException w:qFormat="1" w:unhideWhenUsed="0" w:uiPriority="73" w:semiHidden="0" w:name="Colorful Grid Accent 2"/>
    <w:lsdException w:qFormat="1" w:unhideWhenUsed="0" w:uiPriority="60" w:semiHidden="0" w:name="Light Shading Accent 3"/>
    <w:lsdException w:qFormat="1" w:unhideWhenUsed="0" w:uiPriority="61" w:semiHidden="0" w:name="Light List Accent 3"/>
    <w:lsdException w:qFormat="1" w:unhideWhenUsed="0" w:uiPriority="62" w:semiHidden="0" w:name="Light Grid Accent 3"/>
    <w:lsdException w:qFormat="1" w:unhideWhenUsed="0" w:uiPriority="63" w:semiHidden="0" w:name="Medium Shading 1 Accent 3"/>
    <w:lsdException w:qFormat="1" w:unhideWhenUsed="0" w:uiPriority="64" w:semiHidden="0" w:name="Medium Shading 2 Accent 3"/>
    <w:lsdException w:qFormat="1" w:unhideWhenUsed="0" w:uiPriority="65" w:semiHidden="0" w:name="Medium List 1 Accent 3"/>
    <w:lsdException w:qFormat="1" w:unhideWhenUsed="0" w:uiPriority="66" w:semiHidden="0" w:name="Medium List 2 Accent 3"/>
    <w:lsdException w:qFormat="1" w:unhideWhenUsed="0" w:uiPriority="67" w:semiHidden="0" w:name="Medium Grid 1 Accent 3"/>
    <w:lsdException w:qFormat="1" w:unhideWhenUsed="0" w:uiPriority="68" w:semiHidden="0" w:name="Medium Grid 2 Accent 3"/>
    <w:lsdException w:qFormat="1" w:unhideWhenUsed="0" w:uiPriority="69" w:semiHidden="0" w:name="Medium Grid 3 Accent 3"/>
    <w:lsdException w:qFormat="1" w:unhideWhenUsed="0" w:uiPriority="70" w:semiHidden="0" w:name="Dark List Accent 3"/>
    <w:lsdException w:qFormat="1" w:unhideWhenUsed="0" w:uiPriority="71" w:semiHidden="0" w:name="Colorful Shading Accent 3"/>
    <w:lsdException w:qFormat="1" w:unhideWhenUsed="0" w:uiPriority="72" w:semiHidden="0" w:name="Colorful List Accent 3"/>
    <w:lsdException w:qFormat="1" w:unhideWhenUsed="0" w:uiPriority="73" w:semiHidden="0" w:name="Colorful Grid Accent 3"/>
    <w:lsdException w:qFormat="1" w:unhideWhenUsed="0" w:uiPriority="60" w:semiHidden="0" w:name="Light Shading Accent 4"/>
    <w:lsdException w:qFormat="1" w:unhideWhenUsed="0" w:uiPriority="61" w:semiHidden="0" w:name="Light List Accent 4"/>
    <w:lsdException w:qFormat="1" w:unhideWhenUsed="0" w:uiPriority="62" w:semiHidden="0" w:name="Light Grid Accent 4"/>
    <w:lsdException w:qFormat="1" w:unhideWhenUsed="0" w:uiPriority="63" w:semiHidden="0" w:name="Medium Shading 1 Accent 4"/>
    <w:lsdException w:qFormat="1" w:unhideWhenUsed="0" w:uiPriority="64" w:semiHidden="0" w:name="Medium Shading 2 Accent 4"/>
    <w:lsdException w:qFormat="1" w:unhideWhenUsed="0" w:uiPriority="65" w:semiHidden="0" w:name="Medium List 1 Accent 4"/>
    <w:lsdException w:qFormat="1" w:unhideWhenUsed="0" w:uiPriority="66" w:semiHidden="0" w:name="Medium List 2 Accent 4"/>
    <w:lsdException w:qFormat="1" w:unhideWhenUsed="0" w:uiPriority="67" w:semiHidden="0" w:name="Medium Grid 1 Accent 4"/>
    <w:lsdException w:qFormat="1" w:unhideWhenUsed="0" w:uiPriority="68" w:semiHidden="0" w:name="Medium Grid 2 Accent 4"/>
    <w:lsdException w:qFormat="1" w:unhideWhenUsed="0" w:uiPriority="69" w:semiHidden="0" w:name="Medium Grid 3 Accent 4"/>
    <w:lsdException w:qFormat="1" w:unhideWhenUsed="0" w:uiPriority="70" w:semiHidden="0" w:name="Dark List Accent 4"/>
    <w:lsdException w:qFormat="1" w:unhideWhenUsed="0" w:uiPriority="71" w:semiHidden="0" w:name="Colorful Shading Accent 4"/>
    <w:lsdException w:qFormat="1" w:unhideWhenUsed="0" w:uiPriority="72" w:semiHidden="0" w:name="Colorful List Accent 4"/>
    <w:lsdException w:qFormat="1" w:unhideWhenUsed="0" w:uiPriority="73" w:semiHidden="0" w:name="Colorful Grid Accent 4"/>
    <w:lsdException w:qFormat="1" w:unhideWhenUsed="0" w:uiPriority="60" w:semiHidden="0" w:name="Light Shading Accent 5"/>
    <w:lsdException w:qFormat="1" w:unhideWhenUsed="0" w:uiPriority="61" w:semiHidden="0" w:name="Light List Accent 5"/>
    <w:lsdException w:qFormat="1" w:unhideWhenUsed="0" w:uiPriority="62" w:semiHidden="0" w:name="Light Grid Accent 5"/>
    <w:lsdException w:qFormat="1" w:unhideWhenUsed="0" w:uiPriority="63" w:semiHidden="0" w:name="Medium Shading 1 Accent 5"/>
    <w:lsdException w:qFormat="1" w:unhideWhenUsed="0" w:uiPriority="64" w:semiHidden="0" w:name="Medium Shading 2 Accent 5"/>
    <w:lsdException w:qFormat="1" w:unhideWhenUsed="0" w:uiPriority="65" w:semiHidden="0" w:name="Medium List 1 Accent 5"/>
    <w:lsdException w:qFormat="1" w:unhideWhenUsed="0" w:uiPriority="66" w:semiHidden="0" w:name="Medium List 2 Accent 5"/>
    <w:lsdException w:qFormat="1" w:unhideWhenUsed="0" w:uiPriority="67" w:semiHidden="0" w:name="Medium Grid 1 Accent 5"/>
    <w:lsdException w:qFormat="1" w:unhideWhenUsed="0" w:uiPriority="68" w:semiHidden="0" w:name="Medium Grid 2 Accent 5"/>
    <w:lsdException w:qFormat="1" w:unhideWhenUsed="0" w:uiPriority="69" w:semiHidden="0" w:name="Medium Grid 3 Accent 5"/>
    <w:lsdException w:qFormat="1" w:unhideWhenUsed="0" w:uiPriority="70" w:semiHidden="0" w:name="Dark List Accent 5"/>
    <w:lsdException w:qFormat="1" w:unhideWhenUsed="0" w:uiPriority="71" w:semiHidden="0" w:name="Colorful Shading Accent 5"/>
    <w:lsdException w:qFormat="1" w:unhideWhenUsed="0" w:uiPriority="72" w:semiHidden="0" w:name="Colorful List Accent 5"/>
    <w:lsdException w:qFormat="1" w:unhideWhenUsed="0" w:uiPriority="73" w:semiHidden="0" w:name="Colorful Grid Accent 5"/>
    <w:lsdException w:qFormat="1" w:unhideWhenUsed="0" w:uiPriority="60" w:semiHidden="0" w:name="Light Shading Accent 6"/>
    <w:lsdException w:qFormat="1" w:unhideWhenUsed="0" w:uiPriority="61" w:semiHidden="0" w:name="Light List Accent 6"/>
    <w:lsdException w:qFormat="1" w:unhideWhenUsed="0" w:uiPriority="62" w:semiHidden="0" w:name="Light Grid Accent 6"/>
    <w:lsdException w:qFormat="1" w:unhideWhenUsed="0" w:uiPriority="63" w:semiHidden="0" w:name="Medium Shading 1 Accent 6"/>
    <w:lsdException w:qFormat="1" w:unhideWhenUsed="0" w:uiPriority="64" w:semiHidden="0" w:name="Medium Shading 2 Accent 6"/>
    <w:lsdException w:qFormat="1" w:unhideWhenUsed="0" w:uiPriority="65" w:semiHidden="0" w:name="Medium List 1 Accent 6"/>
    <w:lsdException w:qFormat="1" w:unhideWhenUsed="0" w:uiPriority="66" w:semiHidden="0" w:name="Medium List 2 Accent 6"/>
    <w:lsdException w:qFormat="1" w:unhideWhenUsed="0" w:uiPriority="67" w:semiHidden="0" w:name="Medium Grid 1 Accent 6"/>
    <w:lsdException w:qFormat="1" w:unhideWhenUsed="0" w:uiPriority="68" w:semiHidden="0" w:name="Medium Grid 2 Accent 6"/>
    <w:lsdException w:qFormat="1" w:unhideWhenUsed="0" w:uiPriority="69" w:semiHidden="0" w:name="Medium Grid 3 Accent 6"/>
    <w:lsdException w:qFormat="1" w:unhideWhenUsed="0" w:uiPriority="70" w:semiHidden="0" w:name="Dark List Accent 6"/>
    <w:lsdException w:qFormat="1" w:unhideWhenUsed="0" w:uiPriority="71" w:semiHidden="0" w:name="Colorful Shading Accent 6"/>
    <w:lsdException w:qFormat="1" w:unhideWhenUsed="0" w:uiPriority="72" w:semiHidden="0" w:name="Colorful List Accent 6"/>
    <w:lsdException w:qFormat="1" w:unhideWhenUsed="0" w:uiPriority="73" w:semiHidden="0" w:name="Colorful Grid Accent 6"/>
  </w:latentStyles>
  <w:style w:type="paragraph" w:default="1" w:styleId="1">
    <w:name w:val="Normal"/>
    <w:next w:val="2"/>
    <w:qFormat/>
    <w:uiPriority w:val="0"/>
    <w:pPr>
      <w:spacing w:after="200" w:line="276" w:lineRule="auto"/>
    </w:pPr>
    <w:rPr>
      <w:rFonts w:asciiTheme="minorHAnsi" w:hAnsiTheme="minorHAnsi" w:eastAsiaTheme="minorEastAsia" w:cstheme="minorBidi"/>
      <w:sz w:val="24"/>
      <w:szCs w:val="22"/>
      <w:lang w:val="en-US" w:eastAsia="en-US" w:bidi="ar-SA"/>
    </w:rPr>
  </w:style>
  <w:style w:type="paragraph" w:styleId="5">
    <w:name w:val="heading 1"/>
    <w:basedOn w:val="1"/>
    <w:next w:val="1"/>
    <w:link w:val="14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6">
    <w:name w:val="heading 2"/>
    <w:basedOn w:val="1"/>
    <w:next w:val="1"/>
    <w:link w:val="15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7">
    <w:name w:val="heading 3"/>
    <w:basedOn w:val="1"/>
    <w:next w:val="1"/>
    <w:link w:val="15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8">
    <w:name w:val="heading 4"/>
    <w:basedOn w:val="1"/>
    <w:next w:val="1"/>
    <w:link w:val="16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9">
    <w:name w:val="heading 5"/>
    <w:basedOn w:val="1"/>
    <w:next w:val="1"/>
    <w:link w:val="16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10">
    <w:name w:val="heading 6"/>
    <w:basedOn w:val="1"/>
    <w:next w:val="1"/>
    <w:link w:val="16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11">
    <w:name w:val="heading 7"/>
    <w:basedOn w:val="1"/>
    <w:next w:val="1"/>
    <w:link w:val="16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2">
    <w:name w:val="heading 8"/>
    <w:basedOn w:val="1"/>
    <w:next w:val="1"/>
    <w:link w:val="16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3">
    <w:name w:val="heading 9"/>
    <w:basedOn w:val="1"/>
    <w:next w:val="1"/>
    <w:link w:val="16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7">
    <w:name w:val="Default Paragraph Font"/>
    <w:unhideWhenUsed/>
    <w:qFormat/>
    <w:uiPriority w:val="1"/>
  </w:style>
  <w:style w:type="table" w:default="1" w:styleId="37">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qFormat/>
    <w:uiPriority w:val="0"/>
    <w:pPr>
      <w:ind w:firstLine="420" w:firstLineChars="200"/>
    </w:pPr>
  </w:style>
  <w:style w:type="paragraph" w:styleId="3">
    <w:name w:val="Body Text Indent"/>
    <w:basedOn w:val="1"/>
    <w:qFormat/>
    <w:uiPriority w:val="0"/>
    <w:pPr>
      <w:spacing w:after="120"/>
      <w:ind w:left="420" w:leftChars="200"/>
    </w:pPr>
  </w:style>
  <w:style w:type="paragraph" w:styleId="4">
    <w:name w:val="macro"/>
    <w:link w:val="158"/>
    <w:unhideWhenUsed/>
    <w:qFormat/>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lang w:val="en-US" w:eastAsia="en-US" w:bidi="ar-SA"/>
    </w:rPr>
  </w:style>
  <w:style w:type="paragraph" w:styleId="14">
    <w:name w:val="List 3"/>
    <w:basedOn w:val="1"/>
    <w:unhideWhenUsed/>
    <w:qFormat/>
    <w:uiPriority w:val="99"/>
    <w:pPr>
      <w:ind w:left="1080" w:hanging="360"/>
      <w:contextualSpacing/>
    </w:pPr>
  </w:style>
  <w:style w:type="paragraph" w:styleId="15">
    <w:name w:val="toc 7"/>
    <w:basedOn w:val="1"/>
    <w:next w:val="1"/>
    <w:qFormat/>
    <w:uiPriority w:val="0"/>
    <w:pPr>
      <w:ind w:left="2520" w:leftChars="1200"/>
    </w:pPr>
  </w:style>
  <w:style w:type="paragraph" w:styleId="16">
    <w:name w:val="List Number 2"/>
    <w:basedOn w:val="1"/>
    <w:unhideWhenUsed/>
    <w:qFormat/>
    <w:uiPriority w:val="99"/>
    <w:pPr>
      <w:numPr>
        <w:ilvl w:val="0"/>
        <w:numId w:val="1"/>
      </w:numPr>
      <w:contextualSpacing/>
    </w:pPr>
  </w:style>
  <w:style w:type="paragraph" w:styleId="17">
    <w:name w:val="List Number"/>
    <w:basedOn w:val="1"/>
    <w:unhideWhenUsed/>
    <w:qFormat/>
    <w:uiPriority w:val="99"/>
    <w:pPr>
      <w:numPr>
        <w:ilvl w:val="0"/>
        <w:numId w:val="2"/>
      </w:numPr>
      <w:contextualSpacing/>
    </w:pPr>
  </w:style>
  <w:style w:type="paragraph" w:styleId="18">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9">
    <w:name w:val="List Bullet"/>
    <w:basedOn w:val="1"/>
    <w:unhideWhenUsed/>
    <w:qFormat/>
    <w:uiPriority w:val="99"/>
    <w:pPr>
      <w:numPr>
        <w:ilvl w:val="0"/>
        <w:numId w:val="3"/>
      </w:numPr>
      <w:contextualSpacing/>
    </w:pPr>
  </w:style>
  <w:style w:type="paragraph" w:styleId="20">
    <w:name w:val="Body Text 3"/>
    <w:basedOn w:val="1"/>
    <w:link w:val="157"/>
    <w:unhideWhenUsed/>
    <w:qFormat/>
    <w:uiPriority w:val="99"/>
    <w:pPr>
      <w:spacing w:after="120"/>
    </w:pPr>
    <w:rPr>
      <w:sz w:val="16"/>
      <w:szCs w:val="16"/>
    </w:rPr>
  </w:style>
  <w:style w:type="paragraph" w:styleId="21">
    <w:name w:val="List Bullet 3"/>
    <w:basedOn w:val="1"/>
    <w:unhideWhenUsed/>
    <w:qFormat/>
    <w:uiPriority w:val="99"/>
    <w:pPr>
      <w:numPr>
        <w:ilvl w:val="0"/>
        <w:numId w:val="4"/>
      </w:numPr>
      <w:contextualSpacing/>
    </w:pPr>
  </w:style>
  <w:style w:type="paragraph" w:styleId="22">
    <w:name w:val="Body Text"/>
    <w:basedOn w:val="1"/>
    <w:link w:val="155"/>
    <w:unhideWhenUsed/>
    <w:qFormat/>
    <w:uiPriority w:val="99"/>
    <w:pPr>
      <w:spacing w:after="120"/>
    </w:pPr>
  </w:style>
  <w:style w:type="paragraph" w:styleId="23">
    <w:name w:val="List Number 3"/>
    <w:basedOn w:val="1"/>
    <w:unhideWhenUsed/>
    <w:qFormat/>
    <w:uiPriority w:val="99"/>
    <w:pPr>
      <w:numPr>
        <w:ilvl w:val="0"/>
        <w:numId w:val="5"/>
      </w:numPr>
      <w:contextualSpacing/>
    </w:pPr>
  </w:style>
  <w:style w:type="paragraph" w:styleId="24">
    <w:name w:val="List 2"/>
    <w:basedOn w:val="1"/>
    <w:unhideWhenUsed/>
    <w:qFormat/>
    <w:uiPriority w:val="99"/>
    <w:pPr>
      <w:ind w:left="720" w:hanging="360"/>
      <w:contextualSpacing/>
    </w:pPr>
  </w:style>
  <w:style w:type="paragraph" w:styleId="25">
    <w:name w:val="List Continue"/>
    <w:basedOn w:val="1"/>
    <w:unhideWhenUsed/>
    <w:qFormat/>
    <w:uiPriority w:val="99"/>
    <w:pPr>
      <w:spacing w:after="120"/>
      <w:ind w:left="360"/>
      <w:contextualSpacing/>
    </w:pPr>
  </w:style>
  <w:style w:type="paragraph" w:styleId="26">
    <w:name w:val="List Bullet 2"/>
    <w:basedOn w:val="1"/>
    <w:unhideWhenUsed/>
    <w:qFormat/>
    <w:uiPriority w:val="99"/>
    <w:pPr>
      <w:numPr>
        <w:ilvl w:val="0"/>
        <w:numId w:val="6"/>
      </w:numPr>
      <w:contextualSpacing/>
    </w:pPr>
  </w:style>
  <w:style w:type="paragraph" w:styleId="27">
    <w:name w:val="Balloon Text"/>
    <w:basedOn w:val="1"/>
    <w:link w:val="176"/>
    <w:semiHidden/>
    <w:unhideWhenUsed/>
    <w:qFormat/>
    <w:uiPriority w:val="99"/>
    <w:pPr>
      <w:spacing w:after="0" w:line="240" w:lineRule="auto"/>
    </w:pPr>
    <w:rPr>
      <w:rFonts w:ascii="Segoe UI" w:hAnsi="Segoe UI" w:cs="Segoe UI"/>
      <w:sz w:val="18"/>
      <w:szCs w:val="18"/>
    </w:rPr>
  </w:style>
  <w:style w:type="paragraph" w:styleId="28">
    <w:name w:val="footer"/>
    <w:basedOn w:val="1"/>
    <w:link w:val="147"/>
    <w:unhideWhenUsed/>
    <w:qFormat/>
    <w:uiPriority w:val="99"/>
    <w:pPr>
      <w:tabs>
        <w:tab w:val="center" w:pos="4680"/>
        <w:tab w:val="right" w:pos="9360"/>
      </w:tabs>
      <w:spacing w:after="0" w:line="240" w:lineRule="auto"/>
    </w:pPr>
  </w:style>
  <w:style w:type="paragraph" w:styleId="29">
    <w:name w:val="header"/>
    <w:basedOn w:val="1"/>
    <w:link w:val="146"/>
    <w:unhideWhenUsed/>
    <w:qFormat/>
    <w:uiPriority w:val="99"/>
    <w:pPr>
      <w:tabs>
        <w:tab w:val="center" w:pos="4680"/>
        <w:tab w:val="right" w:pos="9360"/>
      </w:tabs>
      <w:spacing w:after="0" w:line="240" w:lineRule="auto"/>
    </w:pPr>
  </w:style>
  <w:style w:type="paragraph" w:styleId="30">
    <w:name w:val="Subtitle"/>
    <w:basedOn w:val="1"/>
    <w:next w:val="1"/>
    <w:link w:val="153"/>
    <w:qFormat/>
    <w:uiPriority w:val="11"/>
    <w:rPr>
      <w:rFonts w:asciiTheme="majorHAnsi" w:hAnsiTheme="majorHAnsi" w:eastAsiaTheme="majorEastAsia" w:cstheme="majorBidi"/>
      <w:i/>
      <w:iCs/>
      <w:color w:val="4F81BD" w:themeColor="accent1"/>
      <w:spacing w:val="15"/>
      <w:szCs w:val="24"/>
      <w14:textFill>
        <w14:solidFill>
          <w14:schemeClr w14:val="accent1"/>
        </w14:solidFill>
      </w14:textFill>
    </w:rPr>
  </w:style>
  <w:style w:type="paragraph" w:styleId="31">
    <w:name w:val="List"/>
    <w:basedOn w:val="1"/>
    <w:unhideWhenUsed/>
    <w:qFormat/>
    <w:uiPriority w:val="99"/>
    <w:pPr>
      <w:ind w:left="360" w:hanging="360"/>
      <w:contextualSpacing/>
    </w:pPr>
  </w:style>
  <w:style w:type="paragraph" w:styleId="32">
    <w:name w:val="Body Text 2"/>
    <w:basedOn w:val="1"/>
    <w:link w:val="156"/>
    <w:unhideWhenUsed/>
    <w:qFormat/>
    <w:uiPriority w:val="99"/>
    <w:pPr>
      <w:spacing w:after="120" w:line="480" w:lineRule="auto"/>
    </w:pPr>
  </w:style>
  <w:style w:type="paragraph" w:styleId="33">
    <w:name w:val="List Continue 2"/>
    <w:basedOn w:val="1"/>
    <w:unhideWhenUsed/>
    <w:qFormat/>
    <w:uiPriority w:val="99"/>
    <w:pPr>
      <w:spacing w:after="120"/>
      <w:ind w:left="720"/>
      <w:contextualSpacing/>
    </w:pPr>
  </w:style>
  <w:style w:type="paragraph" w:styleId="34">
    <w:name w:val="Normal (Web)"/>
    <w:basedOn w:val="1"/>
    <w:unhideWhenUsed/>
    <w:qFormat/>
    <w:uiPriority w:val="99"/>
    <w:pPr>
      <w:suppressAutoHyphens/>
      <w:spacing w:after="0" w:line="240" w:lineRule="auto"/>
    </w:pPr>
    <w:rPr>
      <w:rFonts w:ascii="Times New Roman" w:hAnsi="Times New Roman" w:eastAsia="Times New Roman" w:cs="Times New Roman"/>
      <w:kern w:val="1"/>
      <w:szCs w:val="24"/>
      <w:lang w:val="ru-RU" w:eastAsia="ar-SA"/>
    </w:rPr>
  </w:style>
  <w:style w:type="paragraph" w:styleId="35">
    <w:name w:val="List Continue 3"/>
    <w:basedOn w:val="1"/>
    <w:unhideWhenUsed/>
    <w:qFormat/>
    <w:uiPriority w:val="99"/>
    <w:pPr>
      <w:spacing w:after="120"/>
      <w:ind w:left="1080"/>
      <w:contextualSpacing/>
    </w:pPr>
  </w:style>
  <w:style w:type="paragraph" w:styleId="36">
    <w:name w:val="Title"/>
    <w:basedOn w:val="1"/>
    <w:next w:val="1"/>
    <w:link w:val="15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8">
    <w:name w:val="Table Grid"/>
    <w:basedOn w:val="3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39">
    <w:name w:val="Light Shading"/>
    <w:basedOn w:val="37"/>
    <w:qFormat/>
    <w:uiPriority w:val="60"/>
    <w:rPr>
      <w:color w:val="000000" w:themeColor="text1" w:themeShade="BF"/>
    </w:rPr>
    <w:tblPr>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40">
    <w:name w:val="Light Shading Accent 1"/>
    <w:basedOn w:val="37"/>
    <w:qFormat/>
    <w:uiPriority w:val="60"/>
    <w:rPr>
      <w:color w:val="376092" w:themeColor="accent1" w:themeShade="BF"/>
    </w:rPr>
    <w:tblPr>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41">
    <w:name w:val="Light Shading Accent 2"/>
    <w:basedOn w:val="37"/>
    <w:qFormat/>
    <w:uiPriority w:val="60"/>
    <w:rPr>
      <w:color w:val="953735" w:themeColor="accent2" w:themeShade="BF"/>
    </w:rPr>
    <w:tblPr>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42">
    <w:name w:val="Light Shading Accent 3"/>
    <w:basedOn w:val="37"/>
    <w:qFormat/>
    <w:uiPriority w:val="60"/>
    <w:rPr>
      <w:color w:val="77933C" w:themeColor="accent3" w:themeShade="BF"/>
    </w:rPr>
    <w:tblPr>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43">
    <w:name w:val="Light Shading Accent 4"/>
    <w:basedOn w:val="37"/>
    <w:qFormat/>
    <w:uiPriority w:val="60"/>
    <w:rPr>
      <w:color w:val="604A7B" w:themeColor="accent4" w:themeShade="BF"/>
    </w:rPr>
    <w:tblPr>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4">
    <w:name w:val="Light Shading Accent 5"/>
    <w:basedOn w:val="37"/>
    <w:qFormat/>
    <w:uiPriority w:val="60"/>
    <w:rPr>
      <w:color w:val="31859C" w:themeColor="accent5" w:themeShade="BF"/>
    </w:rPr>
    <w:tblPr>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5">
    <w:name w:val="Light Shading Accent 6"/>
    <w:basedOn w:val="37"/>
    <w:qFormat/>
    <w:uiPriority w:val="60"/>
    <w:rPr>
      <w:color w:val="E46C0A" w:themeColor="accent6" w:themeShade="BF"/>
    </w:rPr>
    <w:tblPr>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6">
    <w:name w:val="Light List"/>
    <w:basedOn w:val="37"/>
    <w:qFormat/>
    <w:uiPriority w:val="61"/>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7">
    <w:name w:val="Light List Accent 1"/>
    <w:basedOn w:val="37"/>
    <w:qFormat/>
    <w:uiPriority w:val="61"/>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8">
    <w:name w:val="Light List Accent 2"/>
    <w:basedOn w:val="37"/>
    <w:qFormat/>
    <w:uiPriority w:val="61"/>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9">
    <w:name w:val="Light List Accent 3"/>
    <w:basedOn w:val="37"/>
    <w:qFormat/>
    <w:uiPriority w:val="61"/>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50">
    <w:name w:val="Light List Accent 4"/>
    <w:basedOn w:val="37"/>
    <w:qFormat/>
    <w:uiPriority w:val="61"/>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51">
    <w:name w:val="Light List Accent 5"/>
    <w:basedOn w:val="37"/>
    <w:qFormat/>
    <w:uiPriority w:val="61"/>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52">
    <w:name w:val="Light List Accent 6"/>
    <w:basedOn w:val="37"/>
    <w:qFormat/>
    <w:uiPriority w:val="61"/>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53">
    <w:name w:val="Light Grid"/>
    <w:basedOn w:val="37"/>
    <w:qFormat/>
    <w:uiPriority w:val="62"/>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4">
    <w:name w:val="Light Grid Accent 1"/>
    <w:basedOn w:val="37"/>
    <w:qFormat/>
    <w:uiPriority w:val="62"/>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5">
    <w:name w:val="Light Grid Accent 2"/>
    <w:basedOn w:val="37"/>
    <w:qFormat/>
    <w:uiPriority w:val="62"/>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6">
    <w:name w:val="Light Grid Accent 3"/>
    <w:basedOn w:val="37"/>
    <w:qFormat/>
    <w:uiPriority w:val="62"/>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7">
    <w:name w:val="Light Grid Accent 4"/>
    <w:basedOn w:val="37"/>
    <w:qFormat/>
    <w:uiPriority w:val="62"/>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8">
    <w:name w:val="Light Grid Accent 5"/>
    <w:basedOn w:val="37"/>
    <w:qFormat/>
    <w:uiPriority w:val="62"/>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9">
    <w:name w:val="Light Grid Accent 6"/>
    <w:basedOn w:val="37"/>
    <w:qFormat/>
    <w:uiPriority w:val="62"/>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60">
    <w:name w:val="Medium Shading 1"/>
    <w:basedOn w:val="37"/>
    <w:qFormat/>
    <w:uiPriority w:val="63"/>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61">
    <w:name w:val="Medium Shading 1 Accent 1"/>
    <w:basedOn w:val="37"/>
    <w:qFormat/>
    <w:uiPriority w:val="63"/>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62">
    <w:name w:val="Medium Shading 1 Accent 2"/>
    <w:basedOn w:val="37"/>
    <w:qFormat/>
    <w:uiPriority w:val="63"/>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63">
    <w:name w:val="Medium Shading 1 Accent 3"/>
    <w:basedOn w:val="37"/>
    <w:qFormat/>
    <w:uiPriority w:val="63"/>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4">
    <w:name w:val="Medium Shading 1 Accent 4"/>
    <w:basedOn w:val="37"/>
    <w:qFormat/>
    <w:uiPriority w:val="63"/>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5">
    <w:name w:val="Medium Shading 1 Accent 5"/>
    <w:basedOn w:val="37"/>
    <w:qFormat/>
    <w:uiPriority w:val="63"/>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6">
    <w:name w:val="Medium Shading 1 Accent 6"/>
    <w:basedOn w:val="37"/>
    <w:qFormat/>
    <w:uiPriority w:val="63"/>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7">
    <w:name w:val="Medium Shading 2"/>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1"/>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2"/>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Shading 2 Accent 3"/>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1">
    <w:name w:val="Medium Shading 2 Accent 4"/>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2">
    <w:name w:val="Medium Shading 2 Accent 5"/>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3">
    <w:name w:val="Medium Shading 2 Accent 6"/>
    <w:basedOn w:val="37"/>
    <w:qFormat/>
    <w:uiPriority w:val="64"/>
    <w:tblPr>
      <w:tblBorders>
        <w:top w:val="single" w:color="auto" w:sz="18" w:space="0"/>
        <w:bottom w:val="single" w:color="auto" w:sz="18" w:space="0"/>
      </w:tblBorders>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4">
    <w:name w:val="Medium List 1"/>
    <w:basedOn w:val="37"/>
    <w:qFormat/>
    <w:uiPriority w:val="65"/>
    <w:rPr>
      <w:color w:val="000000" w:themeColor="text1"/>
      <w14:textFill>
        <w14:solidFill>
          <w14:schemeClr w14:val="tx1"/>
        </w14:solidFill>
      </w14:textFill>
    </w:rPr>
    <w:tblPr>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5">
    <w:name w:val="Medium List 1 Accent 1"/>
    <w:basedOn w:val="37"/>
    <w:qFormat/>
    <w:uiPriority w:val="65"/>
    <w:rPr>
      <w:color w:val="000000" w:themeColor="text1"/>
      <w14:textFill>
        <w14:solidFill>
          <w14:schemeClr w14:val="tx1"/>
        </w14:solidFill>
      </w14:textFill>
    </w:rPr>
    <w:tblPr>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6">
    <w:name w:val="Medium List 1 Accent 2"/>
    <w:basedOn w:val="37"/>
    <w:qFormat/>
    <w:uiPriority w:val="65"/>
    <w:rPr>
      <w:color w:val="000000" w:themeColor="text1"/>
      <w14:textFill>
        <w14:solidFill>
          <w14:schemeClr w14:val="tx1"/>
        </w14:solidFill>
      </w14:textFill>
    </w:rPr>
    <w:tblPr>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7">
    <w:name w:val="Medium List 1 Accent 3"/>
    <w:basedOn w:val="37"/>
    <w:qFormat/>
    <w:uiPriority w:val="65"/>
    <w:rPr>
      <w:color w:val="000000" w:themeColor="text1"/>
      <w14:textFill>
        <w14:solidFill>
          <w14:schemeClr w14:val="tx1"/>
        </w14:solidFill>
      </w14:textFill>
    </w:rPr>
    <w:tblPr>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8">
    <w:name w:val="Medium List 1 Accent 4"/>
    <w:basedOn w:val="37"/>
    <w:qFormat/>
    <w:uiPriority w:val="65"/>
    <w:rPr>
      <w:color w:val="000000" w:themeColor="text1"/>
      <w14:textFill>
        <w14:solidFill>
          <w14:schemeClr w14:val="tx1"/>
        </w14:solidFill>
      </w14:textFill>
    </w:rPr>
    <w:tblPr>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9">
    <w:name w:val="Medium List 1 Accent 5"/>
    <w:basedOn w:val="37"/>
    <w:qFormat/>
    <w:uiPriority w:val="65"/>
    <w:rPr>
      <w:color w:val="000000" w:themeColor="text1"/>
      <w14:textFill>
        <w14:solidFill>
          <w14:schemeClr w14:val="tx1"/>
        </w14:solidFill>
      </w14:textFill>
    </w:rPr>
    <w:tblPr>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80">
    <w:name w:val="Medium List 1 Accent 6"/>
    <w:basedOn w:val="37"/>
    <w:qFormat/>
    <w:uiPriority w:val="65"/>
    <w:rPr>
      <w:color w:val="000000" w:themeColor="text1"/>
      <w14:textFill>
        <w14:solidFill>
          <w14:schemeClr w14:val="tx1"/>
        </w14:solidFill>
      </w14:textFill>
    </w:rPr>
    <w:tblPr>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81">
    <w:name w:val="Medium List 2"/>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1"/>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2"/>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List 2 Accent 3"/>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5">
    <w:name w:val="Medium List 2 Accent 4"/>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6">
    <w:name w:val="Medium List 2 Accent 5"/>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7">
    <w:name w:val="Medium List 2 Accent 6"/>
    <w:basedOn w:val="37"/>
    <w:qFormat/>
    <w:uiPriority w:val="66"/>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8">
    <w:name w:val="Medium Grid 1"/>
    <w:basedOn w:val="37"/>
    <w:qFormat/>
    <w:uiPriority w:val="67"/>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9">
    <w:name w:val="Medium Grid 1 Accent 1"/>
    <w:basedOn w:val="37"/>
    <w:qFormat/>
    <w:uiPriority w:val="67"/>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90">
    <w:name w:val="Medium Grid 1 Accent 2"/>
    <w:basedOn w:val="37"/>
    <w:qFormat/>
    <w:uiPriority w:val="67"/>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91">
    <w:name w:val="Medium Grid 1 Accent 3"/>
    <w:basedOn w:val="37"/>
    <w:qFormat/>
    <w:uiPriority w:val="67"/>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92">
    <w:name w:val="Medium Grid 1 Accent 4"/>
    <w:basedOn w:val="37"/>
    <w:qFormat/>
    <w:uiPriority w:val="67"/>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93">
    <w:name w:val="Medium Grid 1 Accent 5"/>
    <w:basedOn w:val="37"/>
    <w:qFormat/>
    <w:uiPriority w:val="67"/>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4">
    <w:name w:val="Medium Grid 1 Accent 6"/>
    <w:basedOn w:val="37"/>
    <w:qFormat/>
    <w:uiPriority w:val="67"/>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5">
    <w:name w:val="Medium Grid 2"/>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6">
    <w:name w:val="Medium Grid 2 Accent 1"/>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7">
    <w:name w:val="Medium Grid 2 Accent 2"/>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8">
    <w:name w:val="Medium Grid 2 Accent 3"/>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9">
    <w:name w:val="Medium Grid 2 Accent 4"/>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100">
    <w:name w:val="Medium Grid 2 Accent 5"/>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101">
    <w:name w:val="Medium Grid 2 Accent 6"/>
    <w:basedOn w:val="37"/>
    <w:qFormat/>
    <w:uiPriority w:val="68"/>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102">
    <w:name w:val="Medium Grid 3"/>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103">
    <w:name w:val="Medium Grid 3 Accent 1"/>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4">
    <w:name w:val="Medium Grid 3 Accent 2"/>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5">
    <w:name w:val="Medium Grid 3 Accent 3"/>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6">
    <w:name w:val="Medium Grid 3 Accent 4"/>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7">
    <w:name w:val="Medium Grid 3 Accent 5"/>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8">
    <w:name w:val="Medium Grid 3 Accent 6"/>
    <w:basedOn w:val="37"/>
    <w:qFormat/>
    <w:uiPriority w:val="69"/>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9">
    <w:name w:val="Dark List"/>
    <w:basedOn w:val="37"/>
    <w:qFormat/>
    <w:uiPriority w:val="70"/>
    <w:rPr>
      <w:color w:val="FFFFFF" w:themeColor="background1"/>
      <w14:textFill>
        <w14:solidFill>
          <w14:schemeClr w14:val="bg1"/>
        </w14:solidFill>
      </w14:textFill>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10">
    <w:name w:val="Dark List Accent 1"/>
    <w:basedOn w:val="37"/>
    <w:qFormat/>
    <w:uiPriority w:val="70"/>
    <w:rPr>
      <w:color w:val="FFFFFF" w:themeColor="background1"/>
      <w14:textFill>
        <w14:solidFill>
          <w14:schemeClr w14:val="bg1"/>
        </w14:solidFill>
      </w14:textFill>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11">
    <w:name w:val="Dark List Accent 2"/>
    <w:basedOn w:val="37"/>
    <w:qFormat/>
    <w:uiPriority w:val="70"/>
    <w:rPr>
      <w:color w:val="FFFFFF" w:themeColor="background1"/>
      <w14:textFill>
        <w14:solidFill>
          <w14:schemeClr w14:val="bg1"/>
        </w14:solidFill>
      </w14:textFill>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12">
    <w:name w:val="Dark List Accent 3"/>
    <w:basedOn w:val="37"/>
    <w:qFormat/>
    <w:uiPriority w:val="70"/>
    <w:rPr>
      <w:color w:val="FFFFFF" w:themeColor="background1"/>
      <w14:textFill>
        <w14:solidFill>
          <w14:schemeClr w14:val="bg1"/>
        </w14:solidFill>
      </w14:textFill>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13">
    <w:name w:val="Dark List Accent 4"/>
    <w:basedOn w:val="37"/>
    <w:qFormat/>
    <w:uiPriority w:val="70"/>
    <w:rPr>
      <w:color w:val="FFFFFF" w:themeColor="background1"/>
      <w14:textFill>
        <w14:solidFill>
          <w14:schemeClr w14:val="bg1"/>
        </w14:solidFill>
      </w14:textFill>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4">
    <w:name w:val="Dark List Accent 5"/>
    <w:basedOn w:val="37"/>
    <w:qFormat/>
    <w:uiPriority w:val="70"/>
    <w:rPr>
      <w:color w:val="FFFFFF" w:themeColor="background1"/>
      <w14:textFill>
        <w14:solidFill>
          <w14:schemeClr w14:val="bg1"/>
        </w14:solidFill>
      </w14:textFill>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5">
    <w:name w:val="Dark List Accent 6"/>
    <w:basedOn w:val="37"/>
    <w:qFormat/>
    <w:uiPriority w:val="70"/>
    <w:rPr>
      <w:color w:val="FFFFFF" w:themeColor="background1"/>
      <w14:textFill>
        <w14:solidFill>
          <w14:schemeClr w14:val="bg1"/>
        </w14:solidFill>
      </w14:textFill>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6">
    <w:name w:val="Colorful Shading"/>
    <w:basedOn w:val="37"/>
    <w:qFormat/>
    <w:uiPriority w:val="71"/>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1"/>
    <w:basedOn w:val="37"/>
    <w:qFormat/>
    <w:uiPriority w:val="71"/>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2"/>
    <w:basedOn w:val="37"/>
    <w:qFormat/>
    <w:uiPriority w:val="71"/>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Shading Accent 3"/>
    <w:basedOn w:val="37"/>
    <w:qFormat/>
    <w:uiPriority w:val="71"/>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20">
    <w:name w:val="Colorful Shading Accent 4"/>
    <w:basedOn w:val="37"/>
    <w:qFormat/>
    <w:uiPriority w:val="71"/>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1">
    <w:name w:val="Colorful Shading Accent 5"/>
    <w:basedOn w:val="37"/>
    <w:qFormat/>
    <w:uiPriority w:val="71"/>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2">
    <w:name w:val="Colorful Shading Accent 6"/>
    <w:basedOn w:val="37"/>
    <w:qFormat/>
    <w:uiPriority w:val="71"/>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23">
    <w:name w:val="Colorful List"/>
    <w:basedOn w:val="37"/>
    <w:qFormat/>
    <w:uiPriority w:val="72"/>
    <w:rPr>
      <w:color w:val="000000" w:themeColor="text1"/>
      <w14:textFill>
        <w14:solidFill>
          <w14:schemeClr w14:val="tx1"/>
        </w14:solidFill>
      </w14:textFill>
    </w:rPr>
    <w:tblPr>
      <w:tblStyleRowBandSize w:val="1"/>
      <w:tblStyleColBandSize w:val="1"/>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4">
    <w:name w:val="Colorful List Accent 1"/>
    <w:basedOn w:val="37"/>
    <w:qFormat/>
    <w:uiPriority w:val="72"/>
    <w:rPr>
      <w:color w:val="000000" w:themeColor="text1"/>
      <w14:textFill>
        <w14:solidFill>
          <w14:schemeClr w14:val="tx1"/>
        </w14:solidFill>
      </w14:textFill>
    </w:rPr>
    <w:tblPr>
      <w:tblStyleRowBandSize w:val="1"/>
      <w:tblStyleColBandSize w:val="1"/>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5">
    <w:name w:val="Colorful List Accent 2"/>
    <w:basedOn w:val="37"/>
    <w:qFormat/>
    <w:uiPriority w:val="72"/>
    <w:rPr>
      <w:color w:val="000000" w:themeColor="text1"/>
      <w14:textFill>
        <w14:solidFill>
          <w14:schemeClr w14:val="tx1"/>
        </w14:solidFill>
      </w14:textFill>
    </w:rPr>
    <w:tblPr>
      <w:tblStyleRowBandSize w:val="1"/>
      <w:tblStyleColBandSize w:val="1"/>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6">
    <w:name w:val="Colorful List Accent 3"/>
    <w:basedOn w:val="37"/>
    <w:qFormat/>
    <w:uiPriority w:val="72"/>
    <w:rPr>
      <w:color w:val="000000" w:themeColor="text1"/>
      <w14:textFill>
        <w14:solidFill>
          <w14:schemeClr w14:val="tx1"/>
        </w14:solidFill>
      </w14:textFill>
    </w:rPr>
    <w:tblPr>
      <w:tblStyleRowBandSize w:val="1"/>
      <w:tblStyleColBandSize w:val="1"/>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7">
    <w:name w:val="Colorful List Accent 4"/>
    <w:basedOn w:val="37"/>
    <w:qFormat/>
    <w:uiPriority w:val="72"/>
    <w:rPr>
      <w:color w:val="000000" w:themeColor="text1"/>
      <w14:textFill>
        <w14:solidFill>
          <w14:schemeClr w14:val="tx1"/>
        </w14:solidFill>
      </w14:textFill>
    </w:rPr>
    <w:tblPr>
      <w:tblStyleRowBandSize w:val="1"/>
      <w:tblStyleColBandSize w:val="1"/>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8">
    <w:name w:val="Colorful List Accent 5"/>
    <w:basedOn w:val="37"/>
    <w:qFormat/>
    <w:uiPriority w:val="72"/>
    <w:rPr>
      <w:color w:val="000000" w:themeColor="text1"/>
      <w14:textFill>
        <w14:solidFill>
          <w14:schemeClr w14:val="tx1"/>
        </w14:solidFill>
      </w14:textFill>
    </w:rPr>
    <w:tblPr>
      <w:tblStyleRowBandSize w:val="1"/>
      <w:tblStyleColBandSize w:val="1"/>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9">
    <w:name w:val="Colorful List Accent 6"/>
    <w:basedOn w:val="37"/>
    <w:qFormat/>
    <w:uiPriority w:val="72"/>
    <w:rPr>
      <w:color w:val="000000" w:themeColor="text1"/>
      <w14:textFill>
        <w14:solidFill>
          <w14:schemeClr w14:val="tx1"/>
        </w14:solidFill>
      </w14:textFill>
    </w:rPr>
    <w:tblPr>
      <w:tblStyleRowBandSize w:val="1"/>
      <w:tblStyleColBandSize w:val="1"/>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30">
    <w:name w:val="Colorful Grid"/>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31">
    <w:name w:val="Colorful Grid Accent 1"/>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32">
    <w:name w:val="Colorful Grid Accent 2"/>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33">
    <w:name w:val="Colorful Grid Accent 3"/>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4">
    <w:name w:val="Colorful Grid Accent 4"/>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5">
    <w:name w:val="Colorful Grid Accent 5"/>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6">
    <w:name w:val="Colorful Grid Accent 6"/>
    <w:basedOn w:val="37"/>
    <w:qFormat/>
    <w:uiPriority w:val="73"/>
    <w:rPr>
      <w:color w:val="000000" w:themeColor="text1"/>
      <w14:textFill>
        <w14:solidFill>
          <w14:schemeClr w14:val="tx1"/>
        </w14:solidFill>
      </w14:textFill>
    </w:rPr>
    <w:tblPr>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8">
    <w:name w:val="Strong"/>
    <w:basedOn w:val="137"/>
    <w:qFormat/>
    <w:uiPriority w:val="22"/>
    <w:rPr>
      <w:b/>
      <w:bCs/>
    </w:rPr>
  </w:style>
  <w:style w:type="character" w:styleId="139">
    <w:name w:val="Emphasis"/>
    <w:basedOn w:val="137"/>
    <w:qFormat/>
    <w:uiPriority w:val="20"/>
    <w:rPr>
      <w:i/>
      <w:iCs/>
    </w:rPr>
  </w:style>
  <w:style w:type="character" w:styleId="140">
    <w:name w:val="Hyperlink"/>
    <w:basedOn w:val="137"/>
    <w:semiHidden/>
    <w:unhideWhenUsed/>
    <w:qFormat/>
    <w:uiPriority w:val="99"/>
    <w:rPr>
      <w:color w:val="0000FF"/>
      <w:u w:val="single"/>
    </w:rPr>
  </w:style>
  <w:style w:type="paragraph" w:customStyle="1" w:styleId="141">
    <w:name w:val="引言二级条标题"/>
    <w:basedOn w:val="142"/>
    <w:next w:val="143"/>
    <w:qFormat/>
    <w:uiPriority w:val="0"/>
    <w:pPr>
      <w:tabs>
        <w:tab w:val="left" w:pos="900"/>
      </w:tabs>
      <w:ind w:left="0" w:firstLine="0"/>
    </w:pPr>
  </w:style>
  <w:style w:type="paragraph" w:customStyle="1" w:styleId="142">
    <w:name w:val="引言一级条标题"/>
    <w:basedOn w:val="1"/>
    <w:next w:val="143"/>
    <w:qFormat/>
    <w:uiPriority w:val="0"/>
    <w:pPr>
      <w:tabs>
        <w:tab w:val="left" w:pos="900"/>
      </w:tabs>
      <w:ind w:left="900" w:hanging="900"/>
    </w:pPr>
    <w:rPr>
      <w:rFonts w:eastAsia="黑体"/>
      <w:b/>
      <w:kern w:val="2"/>
      <w:sz w:val="21"/>
      <w:szCs w:val="24"/>
    </w:rPr>
  </w:style>
  <w:style w:type="paragraph" w:customStyle="1" w:styleId="143">
    <w:name w:val="段"/>
    <w:basedOn w:val="1"/>
    <w:qFormat/>
    <w:uiPriority w:val="0"/>
    <w:pPr>
      <w:ind w:firstLine="200"/>
    </w:pPr>
    <w:rPr>
      <w:rFonts w:ascii="宋体" w:hAnsi="宋体" w:cs="宋体"/>
      <w:sz w:val="21"/>
      <w:szCs w:val="21"/>
    </w:rPr>
  </w:style>
  <w:style w:type="paragraph" w:customStyle="1" w:styleId="144">
    <w:name w:val="Body Text First Indent 21"/>
    <w:basedOn w:val="145"/>
    <w:next w:val="1"/>
    <w:qFormat/>
    <w:uiPriority w:val="0"/>
    <w:pPr>
      <w:ind w:firstLine="420"/>
    </w:pPr>
  </w:style>
  <w:style w:type="paragraph" w:customStyle="1" w:styleId="145">
    <w:name w:val="Body Text Indent1"/>
    <w:basedOn w:val="1"/>
    <w:next w:val="1"/>
    <w:qFormat/>
    <w:uiPriority w:val="0"/>
    <w:pPr>
      <w:adjustRightInd w:val="0"/>
      <w:spacing w:after="120"/>
      <w:ind w:left="420" w:leftChars="200"/>
    </w:pPr>
    <w:rPr>
      <w:rFonts w:hint="eastAsia" w:ascii="宋体" w:hAnsi="宋体" w:eastAsia="宋体" w:cs="宋体"/>
    </w:rPr>
  </w:style>
  <w:style w:type="character" w:customStyle="1" w:styleId="146">
    <w:name w:val="Верхний колонтитул Знак"/>
    <w:basedOn w:val="137"/>
    <w:link w:val="29"/>
    <w:qFormat/>
    <w:uiPriority w:val="99"/>
  </w:style>
  <w:style w:type="character" w:customStyle="1" w:styleId="147">
    <w:name w:val="Нижний колонтитул Знак"/>
    <w:basedOn w:val="137"/>
    <w:link w:val="28"/>
    <w:qFormat/>
    <w:uiPriority w:val="99"/>
  </w:style>
  <w:style w:type="paragraph" w:styleId="148">
    <w:name w:val="No Spacing"/>
    <w:qFormat/>
    <w:uiPriority w:val="1"/>
    <w:rPr>
      <w:rFonts w:asciiTheme="minorHAnsi" w:hAnsiTheme="minorHAnsi" w:eastAsiaTheme="minorEastAsia" w:cstheme="minorBidi"/>
      <w:sz w:val="22"/>
      <w:szCs w:val="22"/>
      <w:lang w:val="en-US" w:eastAsia="en-US" w:bidi="ar-SA"/>
    </w:rPr>
  </w:style>
  <w:style w:type="character" w:customStyle="1" w:styleId="149">
    <w:name w:val="Заголовок 1 Знак"/>
    <w:basedOn w:val="137"/>
    <w:link w:val="5"/>
    <w:qFormat/>
    <w:uiPriority w:val="9"/>
    <w:rPr>
      <w:rFonts w:asciiTheme="majorHAnsi" w:hAnsiTheme="majorHAnsi" w:eastAsiaTheme="majorEastAsia" w:cstheme="majorBidi"/>
      <w:b/>
      <w:bCs/>
      <w:color w:val="376092" w:themeColor="accent1" w:themeShade="BF"/>
      <w:sz w:val="28"/>
      <w:szCs w:val="28"/>
    </w:rPr>
  </w:style>
  <w:style w:type="character" w:customStyle="1" w:styleId="150">
    <w:name w:val="Заголовок 2 Знак"/>
    <w:basedOn w:val="137"/>
    <w:link w:val="6"/>
    <w:qFormat/>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51">
    <w:name w:val="Заголовок 3 Знак"/>
    <w:basedOn w:val="137"/>
    <w:link w:val="7"/>
    <w:qFormat/>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52">
    <w:name w:val="Заголовок Знак"/>
    <w:basedOn w:val="137"/>
    <w:link w:val="36"/>
    <w:qFormat/>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53">
    <w:name w:val="Подзаголовок Знак"/>
    <w:basedOn w:val="137"/>
    <w:link w:val="30"/>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54">
    <w:name w:val="List Paragraph"/>
    <w:basedOn w:val="1"/>
    <w:qFormat/>
    <w:uiPriority w:val="34"/>
    <w:pPr>
      <w:ind w:left="720"/>
      <w:contextualSpacing/>
    </w:pPr>
  </w:style>
  <w:style w:type="character" w:customStyle="1" w:styleId="155">
    <w:name w:val="Основной текст Знак"/>
    <w:basedOn w:val="137"/>
    <w:link w:val="22"/>
    <w:qFormat/>
    <w:uiPriority w:val="99"/>
  </w:style>
  <w:style w:type="character" w:customStyle="1" w:styleId="156">
    <w:name w:val="Основной текст 2 Знак"/>
    <w:basedOn w:val="137"/>
    <w:link w:val="32"/>
    <w:qFormat/>
    <w:uiPriority w:val="99"/>
  </w:style>
  <w:style w:type="character" w:customStyle="1" w:styleId="157">
    <w:name w:val="Основной текст 3 Знак"/>
    <w:basedOn w:val="137"/>
    <w:link w:val="20"/>
    <w:qFormat/>
    <w:uiPriority w:val="99"/>
    <w:rPr>
      <w:sz w:val="16"/>
      <w:szCs w:val="16"/>
    </w:rPr>
  </w:style>
  <w:style w:type="character" w:customStyle="1" w:styleId="158">
    <w:name w:val="Текст макроса Знак"/>
    <w:basedOn w:val="137"/>
    <w:link w:val="4"/>
    <w:qFormat/>
    <w:uiPriority w:val="99"/>
    <w:rPr>
      <w:rFonts w:ascii="Courier" w:hAnsi="Courier"/>
      <w:sz w:val="20"/>
      <w:szCs w:val="20"/>
    </w:rPr>
  </w:style>
  <w:style w:type="paragraph" w:styleId="159">
    <w:name w:val="Quote"/>
    <w:basedOn w:val="1"/>
    <w:next w:val="1"/>
    <w:link w:val="160"/>
    <w:qFormat/>
    <w:uiPriority w:val="29"/>
    <w:rPr>
      <w:i/>
      <w:iCs/>
      <w:color w:val="000000" w:themeColor="text1"/>
      <w14:textFill>
        <w14:solidFill>
          <w14:schemeClr w14:val="tx1"/>
        </w14:solidFill>
      </w14:textFill>
    </w:rPr>
  </w:style>
  <w:style w:type="character" w:customStyle="1" w:styleId="160">
    <w:name w:val="Цитата 2 Знак"/>
    <w:basedOn w:val="137"/>
    <w:link w:val="159"/>
    <w:qFormat/>
    <w:uiPriority w:val="29"/>
    <w:rPr>
      <w:i/>
      <w:iCs/>
      <w:color w:val="000000" w:themeColor="text1"/>
      <w14:textFill>
        <w14:solidFill>
          <w14:schemeClr w14:val="tx1"/>
        </w14:solidFill>
      </w14:textFill>
    </w:rPr>
  </w:style>
  <w:style w:type="character" w:customStyle="1" w:styleId="161">
    <w:name w:val="Заголовок 4 Знак"/>
    <w:basedOn w:val="137"/>
    <w:link w:val="8"/>
    <w:semiHidden/>
    <w:qFormat/>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62">
    <w:name w:val="Заголовок 5 Знак"/>
    <w:basedOn w:val="137"/>
    <w:link w:val="9"/>
    <w:semiHidden/>
    <w:qFormat/>
    <w:uiPriority w:val="9"/>
    <w:rPr>
      <w:rFonts w:asciiTheme="majorHAnsi" w:hAnsiTheme="majorHAnsi" w:eastAsiaTheme="majorEastAsia" w:cstheme="majorBidi"/>
      <w:color w:val="254061" w:themeColor="accent1" w:themeShade="80"/>
    </w:rPr>
  </w:style>
  <w:style w:type="character" w:customStyle="1" w:styleId="163">
    <w:name w:val="Заголовок 6 Знак"/>
    <w:basedOn w:val="137"/>
    <w:link w:val="10"/>
    <w:semiHidden/>
    <w:qFormat/>
    <w:uiPriority w:val="9"/>
    <w:rPr>
      <w:rFonts w:asciiTheme="majorHAnsi" w:hAnsiTheme="majorHAnsi" w:eastAsiaTheme="majorEastAsia" w:cstheme="majorBidi"/>
      <w:i/>
      <w:iCs/>
      <w:color w:val="254061" w:themeColor="accent1" w:themeShade="80"/>
    </w:rPr>
  </w:style>
  <w:style w:type="character" w:customStyle="1" w:styleId="164">
    <w:name w:val="Заголовок 7 Знак"/>
    <w:basedOn w:val="137"/>
    <w:link w:val="11"/>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65">
    <w:name w:val="Заголовок 8 Знак"/>
    <w:basedOn w:val="137"/>
    <w:link w:val="12"/>
    <w:semiHidden/>
    <w:qFormat/>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66">
    <w:name w:val="Заголовок 9 Знак"/>
    <w:basedOn w:val="137"/>
    <w:link w:val="13"/>
    <w:semiHidden/>
    <w:qFormat/>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67">
    <w:name w:val="Intense Quote"/>
    <w:basedOn w:val="1"/>
    <w:next w:val="1"/>
    <w:link w:val="16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68">
    <w:name w:val="Выделенная цитата Знак"/>
    <w:basedOn w:val="137"/>
    <w:link w:val="167"/>
    <w:qFormat/>
    <w:uiPriority w:val="30"/>
    <w:rPr>
      <w:b/>
      <w:bCs/>
      <w:i/>
      <w:iCs/>
      <w:color w:val="4F81BD" w:themeColor="accent1"/>
      <w14:textFill>
        <w14:solidFill>
          <w14:schemeClr w14:val="accent1"/>
        </w14:solidFill>
      </w14:textFill>
    </w:rPr>
  </w:style>
  <w:style w:type="character" w:customStyle="1" w:styleId="169">
    <w:name w:val="Слабое выделение1"/>
    <w:basedOn w:val="137"/>
    <w:qFormat/>
    <w:uiPriority w:val="19"/>
    <w:rPr>
      <w:i/>
      <w:iCs/>
      <w:color w:val="808080" w:themeColor="text1" w:themeTint="80"/>
      <w14:textFill>
        <w14:solidFill>
          <w14:schemeClr w14:val="tx1">
            <w14:lumMod w14:val="50000"/>
            <w14:lumOff w14:val="50000"/>
          </w14:schemeClr>
        </w14:solidFill>
      </w14:textFill>
    </w:rPr>
  </w:style>
  <w:style w:type="character" w:customStyle="1" w:styleId="170">
    <w:name w:val="Сильное выделение1"/>
    <w:basedOn w:val="137"/>
    <w:qFormat/>
    <w:uiPriority w:val="21"/>
    <w:rPr>
      <w:b/>
      <w:bCs/>
      <w:i/>
      <w:iCs/>
      <w:color w:val="4F81BD" w:themeColor="accent1"/>
      <w14:textFill>
        <w14:solidFill>
          <w14:schemeClr w14:val="accent1"/>
        </w14:solidFill>
      </w14:textFill>
    </w:rPr>
  </w:style>
  <w:style w:type="character" w:customStyle="1" w:styleId="171">
    <w:name w:val="Слабая ссылка1"/>
    <w:basedOn w:val="137"/>
    <w:qFormat/>
    <w:uiPriority w:val="31"/>
    <w:rPr>
      <w:smallCaps/>
      <w:color w:val="C0504D" w:themeColor="accent2"/>
      <w:u w:val="single"/>
      <w14:textFill>
        <w14:solidFill>
          <w14:schemeClr w14:val="accent2"/>
        </w14:solidFill>
      </w14:textFill>
    </w:rPr>
  </w:style>
  <w:style w:type="character" w:customStyle="1" w:styleId="172">
    <w:name w:val="Сильная ссылка1"/>
    <w:basedOn w:val="137"/>
    <w:qFormat/>
    <w:uiPriority w:val="32"/>
    <w:rPr>
      <w:b/>
      <w:bCs/>
      <w:smallCaps/>
      <w:color w:val="C0504D" w:themeColor="accent2"/>
      <w:spacing w:val="5"/>
      <w:u w:val="single"/>
      <w14:textFill>
        <w14:solidFill>
          <w14:schemeClr w14:val="accent2"/>
        </w14:solidFill>
      </w14:textFill>
    </w:rPr>
  </w:style>
  <w:style w:type="character" w:customStyle="1" w:styleId="173">
    <w:name w:val="Название книги1"/>
    <w:basedOn w:val="137"/>
    <w:qFormat/>
    <w:uiPriority w:val="33"/>
    <w:rPr>
      <w:b/>
      <w:bCs/>
      <w:smallCaps/>
      <w:spacing w:val="5"/>
    </w:rPr>
  </w:style>
  <w:style w:type="paragraph" w:customStyle="1" w:styleId="174">
    <w:name w:val="Заголовок оглавления1"/>
    <w:basedOn w:val="5"/>
    <w:next w:val="1"/>
    <w:semiHidden/>
    <w:unhideWhenUsed/>
    <w:qFormat/>
    <w:uiPriority w:val="39"/>
    <w:pPr>
      <w:outlineLvl w:val="9"/>
    </w:pPr>
  </w:style>
  <w:style w:type="character" w:customStyle="1" w:styleId="175">
    <w:name w:val="anegp0gi0b9av8jahpyh"/>
    <w:basedOn w:val="137"/>
    <w:qFormat/>
    <w:uiPriority w:val="0"/>
  </w:style>
  <w:style w:type="character" w:customStyle="1" w:styleId="176">
    <w:name w:val="Текст выноски Знак"/>
    <w:basedOn w:val="137"/>
    <w:link w:val="27"/>
    <w:semiHidden/>
    <w:qFormat/>
    <w:uiPriority w:val="99"/>
    <w:rPr>
      <w:rFonts w:ascii="Segoe UI" w:hAnsi="Segoe UI" w:cs="Segoe UI" w:eastAsiaTheme="minorEastAsia"/>
      <w:sz w:val="18"/>
      <w:szCs w:val="18"/>
      <w:lang w:val="en-US" w:eastAsia="en-US"/>
    </w:rPr>
  </w:style>
  <w:style w:type="character" w:customStyle="1" w:styleId="177">
    <w:name w:val="font21"/>
    <w:basedOn w:val="137"/>
    <w:qFormat/>
    <w:uiPriority w:val="0"/>
    <w:rPr>
      <w:rFonts w:hint="eastAsia" w:ascii="宋体" w:hAnsi="宋体" w:eastAsia="宋体" w:cs="宋体"/>
      <w:color w:val="000000"/>
      <w:sz w:val="22"/>
      <w:szCs w:val="22"/>
      <w:u w:val="none"/>
    </w:rPr>
  </w:style>
  <w:style w:type="character" w:customStyle="1" w:styleId="178">
    <w:name w:val="font11"/>
    <w:basedOn w:val="137"/>
    <w:qFormat/>
    <w:uiPriority w:val="0"/>
    <w:rPr>
      <w:rFonts w:hint="default" w:ascii="Times New Roman" w:hAnsi="Times New Roman" w:cs="Times New Roman"/>
      <w:color w:val="000000"/>
      <w:sz w:val="22"/>
      <w:szCs w:val="22"/>
      <w:u w:val="none"/>
    </w:rPr>
  </w:style>
  <w:style w:type="character" w:customStyle="1" w:styleId="179">
    <w:name w:val="font61"/>
    <w:basedOn w:val="137"/>
    <w:qFormat/>
    <w:uiPriority w:val="0"/>
    <w:rPr>
      <w:rFonts w:hint="eastAsia" w:ascii="宋体" w:hAnsi="宋体" w:eastAsia="宋体" w:cs="宋体"/>
      <w:color w:val="000000"/>
      <w:sz w:val="20"/>
      <w:szCs w:val="20"/>
      <w:u w:val="none"/>
    </w:rPr>
  </w:style>
  <w:style w:type="character" w:customStyle="1" w:styleId="180">
    <w:name w:val="font51"/>
    <w:basedOn w:val="137"/>
    <w:qFormat/>
    <w:uiPriority w:val="0"/>
    <w:rPr>
      <w:rFonts w:hint="default" w:ascii="Times New Roman" w:hAnsi="Times New Roman" w:cs="Times New Roman"/>
      <w:color w:val="000000"/>
      <w:sz w:val="22"/>
      <w:szCs w:val="22"/>
      <w:u w:val="none"/>
    </w:rPr>
  </w:style>
  <w:style w:type="character" w:customStyle="1" w:styleId="181">
    <w:name w:val="font01"/>
    <w:basedOn w:val="137"/>
    <w:qFormat/>
    <w:uiPriority w:val="0"/>
    <w:rPr>
      <w:rFonts w:hint="eastAsia" w:ascii="宋体" w:hAnsi="宋体" w:eastAsia="宋体" w:cs="宋体"/>
      <w:color w:val="000000"/>
      <w:sz w:val="20"/>
      <w:szCs w:val="20"/>
      <w:u w:val="none"/>
    </w:rPr>
  </w:style>
  <w:style w:type="character" w:customStyle="1" w:styleId="182">
    <w:name w:val="font31"/>
    <w:basedOn w:val="137"/>
    <w:qFormat/>
    <w:uiPriority w:val="0"/>
    <w:rPr>
      <w:rFonts w:hint="default" w:ascii="Times New Roman" w:hAnsi="Times New Roman" w:cs="Times New Roman"/>
      <w:color w:val="000000"/>
      <w:sz w:val="20"/>
      <w:szCs w:val="20"/>
      <w:u w:val="none"/>
    </w:rPr>
  </w:style>
  <w:style w:type="character" w:customStyle="1" w:styleId="183">
    <w:name w:val="font81"/>
    <w:basedOn w:val="137"/>
    <w:qFormat/>
    <w:uiPriority w:val="0"/>
    <w:rPr>
      <w:rFonts w:hint="default" w:ascii="Times New Roman" w:hAnsi="Times New Roman" w:cs="Times New Roman"/>
      <w:color w:val="000000"/>
      <w:sz w:val="20"/>
      <w:szCs w:val="20"/>
      <w:u w:val="none"/>
    </w:rPr>
  </w:style>
  <w:style w:type="paragraph" w:customStyle="1" w:styleId="184">
    <w:name w:val="Рецензия1"/>
    <w:hidden/>
    <w:unhideWhenUsed/>
    <w:qFormat/>
    <w:uiPriority w:val="99"/>
    <w:rPr>
      <w:rFonts w:asciiTheme="minorHAnsi" w:hAnsiTheme="minorHAnsi" w:eastAsiaTheme="minorEastAsia" w:cstheme="minorBidi"/>
      <w:sz w:val="24"/>
      <w:szCs w:val="22"/>
      <w:lang w:val="en-US" w:eastAsia="en-US" w:bidi="ar-SA"/>
    </w:rPr>
  </w:style>
  <w:style w:type="character" w:customStyle="1" w:styleId="185">
    <w:name w:val="font41"/>
    <w:basedOn w:val="137"/>
    <w:qFormat/>
    <w:uiPriority w:val="0"/>
    <w:rPr>
      <w:rFonts w:hint="default" w:ascii="Times New Roman" w:hAnsi="Times New Roman" w:cs="Times New Roman"/>
      <w:color w:val="000000"/>
      <w:sz w:val="20"/>
      <w:szCs w:val="20"/>
      <w:u w:val="none"/>
    </w:rPr>
  </w:style>
  <w:style w:type="character" w:customStyle="1" w:styleId="186">
    <w:name w:val="font71"/>
    <w:basedOn w:val="137"/>
    <w:qFormat/>
    <w:uiPriority w:val="0"/>
    <w:rPr>
      <w:rFonts w:hint="eastAsia" w:ascii="Microsoft YaHei UI" w:hAnsi="Microsoft YaHei UI" w:eastAsia="Microsoft YaHei UI" w:cs="Microsoft YaHei UI"/>
      <w:color w:val="FF0000"/>
      <w:sz w:val="22"/>
      <w:szCs w:val="22"/>
      <w:u w:val="none"/>
    </w:rPr>
  </w:style>
  <w:style w:type="character" w:customStyle="1" w:styleId="187">
    <w:name w:val="font141"/>
    <w:basedOn w:val="137"/>
    <w:qFormat/>
    <w:uiPriority w:val="0"/>
    <w:rPr>
      <w:rFonts w:hint="default" w:ascii="Times New Roman" w:hAnsi="Times New Roman" w:cs="Times New Roman"/>
      <w:color w:val="FF0000"/>
      <w:sz w:val="22"/>
      <w:szCs w:val="22"/>
      <w:u w:val="none"/>
    </w:rPr>
  </w:style>
  <w:style w:type="character" w:customStyle="1" w:styleId="188">
    <w:name w:val="font121"/>
    <w:basedOn w:val="137"/>
    <w:qFormat/>
    <w:uiPriority w:val="0"/>
    <w:rPr>
      <w:rFonts w:hint="eastAsia" w:ascii="宋体" w:hAnsi="宋体" w:eastAsia="宋体" w:cs="宋体"/>
      <w:color w:val="000000"/>
      <w:sz w:val="20"/>
      <w:szCs w:val="20"/>
      <w:u w:val="none"/>
    </w:rPr>
  </w:style>
  <w:style w:type="character" w:customStyle="1" w:styleId="189">
    <w:name w:val="font151"/>
    <w:basedOn w:val="137"/>
    <w:qFormat/>
    <w:uiPriority w:val="0"/>
    <w:rPr>
      <w:rFonts w:hint="default" w:ascii="Times New Roman" w:hAnsi="Times New Roman" w:cs="Times New Roman"/>
      <w:color w:val="000000"/>
      <w:sz w:val="20"/>
      <w:szCs w:val="20"/>
      <w:u w:val="none"/>
    </w:rPr>
  </w:style>
  <w:style w:type="character" w:customStyle="1" w:styleId="190">
    <w:name w:val="font131"/>
    <w:basedOn w:val="137"/>
    <w:qFormat/>
    <w:uiPriority w:val="0"/>
    <w:rPr>
      <w:rFonts w:hint="eastAsia" w:ascii="楷体" w:hAnsi="楷体" w:eastAsia="楷体" w:cs="楷体"/>
      <w:color w:val="000000"/>
      <w:sz w:val="22"/>
      <w:szCs w:val="22"/>
      <w:u w:val="none"/>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D31359-A86D-4028-8E01-BA41FBC14998}">
  <ds:schemaRefs/>
</ds:datastoreItem>
</file>

<file path=docProps/app.xml><?xml version="1.0" encoding="utf-8"?>
<Properties xmlns="http://schemas.openxmlformats.org/officeDocument/2006/extended-properties" xmlns:vt="http://schemas.openxmlformats.org/officeDocument/2006/docPropsVTypes">
  <Template>Normal</Template>
  <Pages>21</Pages>
  <Words>5816</Words>
  <Characters>33156</Characters>
  <Lines>276</Lines>
  <Paragraphs>77</Paragraphs>
  <TotalTime>0</TotalTime>
  <ScaleCrop>false</ScaleCrop>
  <LinksUpToDate>false</LinksUpToDate>
  <CharactersWithSpaces>38895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2025-12-29T06:25:00Z</dcterms:created>
  <dc:creator>python-docx</dc:creator>
  <cp:lastModifiedBy>杜卫锋</cp:lastModifiedBy>
  <cp:lastPrinted>2025-08-23T06:31:00Z</cp:lastPrinted>
  <dcterms:modified xsi:type="dcterms:W3CDTF">2026-02-27T01:14:07Z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3E2DD8AE2A324F41A08E8369259F0D95</vt:lpwstr>
  </property>
  <property fmtid="{D5CDD505-2E9C-101B-9397-08002B2CF9AE}" pid="4" name="KSOTemplateDocerSaveRecord">
    <vt:lpwstr>eyJoZGlkIjoiZTA5OTAxYjgyYjA5YWI2NGNmZjU4NTgzMjIyYjdkODEiLCJ1c2VySWQiOiIyNzg4NzMwMTEifQ==</vt:lpwstr>
  </property>
</Properties>
</file>